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771E9" w14:textId="77777777" w:rsidR="00284076" w:rsidRPr="00C86E87" w:rsidRDefault="00284076" w:rsidP="00284076">
      <w:pPr>
        <w:jc w:val="center"/>
        <w:rPr>
          <w:b/>
        </w:rPr>
      </w:pPr>
      <w:r w:rsidRPr="00C86E87">
        <w:rPr>
          <w:b/>
        </w:rPr>
        <w:t>UNITED STATES DISTRICT COURT</w:t>
      </w:r>
    </w:p>
    <w:p w14:paraId="1039B145" w14:textId="77777777" w:rsidR="00284076" w:rsidRPr="00C86E87" w:rsidRDefault="00284076" w:rsidP="00284076">
      <w:pPr>
        <w:jc w:val="center"/>
        <w:rPr>
          <w:b/>
        </w:rPr>
      </w:pPr>
      <w:r w:rsidRPr="00C86E87">
        <w:rPr>
          <w:b/>
        </w:rPr>
        <w:t xml:space="preserve">DISTRICT OF </w:t>
      </w:r>
      <w:r w:rsidR="008D2A17" w:rsidRPr="00C86E87">
        <w:rPr>
          <w:b/>
        </w:rPr>
        <w:t>MOOT</w:t>
      </w:r>
    </w:p>
    <w:p w14:paraId="10526256" w14:textId="77777777" w:rsidR="008A36B3" w:rsidRPr="00C86E87" w:rsidRDefault="008A36B3" w:rsidP="002B11EA">
      <w:pPr>
        <w:rPr>
          <w:b/>
        </w:rPr>
      </w:pP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0F13BB" w:rsidRPr="00C86E87" w14:paraId="0E1FD951" w14:textId="77777777" w:rsidTr="002139CB">
        <w:tc>
          <w:tcPr>
            <w:tcW w:w="4788" w:type="dxa"/>
          </w:tcPr>
          <w:p w14:paraId="43932E8C" w14:textId="77777777" w:rsidR="000F13BB" w:rsidRPr="00C86E87" w:rsidRDefault="000F13BB" w:rsidP="002139CB">
            <w:pPr>
              <w:rPr>
                <w:rFonts w:eastAsia="Calibri"/>
              </w:rPr>
            </w:pPr>
          </w:p>
        </w:tc>
        <w:tc>
          <w:tcPr>
            <w:tcW w:w="4788" w:type="dxa"/>
          </w:tcPr>
          <w:p w14:paraId="006D7845" w14:textId="77777777" w:rsidR="000F13BB" w:rsidRPr="00C86E87" w:rsidRDefault="000F13BB" w:rsidP="002139CB">
            <w:pPr>
              <w:rPr>
                <w:rFonts w:eastAsia="Calibri"/>
              </w:rPr>
            </w:pPr>
          </w:p>
          <w:p w14:paraId="02ABA684" w14:textId="77777777" w:rsidR="000F13BB" w:rsidRPr="00C86E87" w:rsidRDefault="000F13BB" w:rsidP="002139CB">
            <w:pPr>
              <w:jc w:val="right"/>
              <w:rPr>
                <w:rFonts w:eastAsia="Calibri"/>
              </w:rPr>
            </w:pPr>
          </w:p>
        </w:tc>
      </w:tr>
      <w:tr w:rsidR="000F13BB" w:rsidRPr="00C86E87" w14:paraId="1ED54680" w14:textId="77777777" w:rsidTr="002139CB">
        <w:tc>
          <w:tcPr>
            <w:tcW w:w="4788" w:type="dxa"/>
          </w:tcPr>
          <w:p w14:paraId="76E0C2B6" w14:textId="77777777" w:rsidR="000F13BB" w:rsidRPr="00C86E87" w:rsidRDefault="000F13BB" w:rsidP="002139CB">
            <w:pPr>
              <w:rPr>
                <w:rFonts w:eastAsia="Calibri"/>
              </w:rPr>
            </w:pPr>
          </w:p>
          <w:p w14:paraId="279AC035" w14:textId="77777777" w:rsidR="000F13BB" w:rsidRPr="00C86E87" w:rsidRDefault="000F13BB" w:rsidP="002139CB">
            <w:pPr>
              <w:rPr>
                <w:rFonts w:eastAsia="Calibri"/>
              </w:rPr>
            </w:pPr>
            <w:r w:rsidRPr="00C86E87">
              <w:rPr>
                <w:rFonts w:eastAsia="Calibri"/>
              </w:rPr>
              <w:t>OGS TV, INC.</w:t>
            </w:r>
          </w:p>
          <w:p w14:paraId="76CC8BB0" w14:textId="77777777" w:rsidR="000F13BB" w:rsidRPr="00C86E87" w:rsidRDefault="000F13BB" w:rsidP="002139CB">
            <w:pPr>
              <w:rPr>
                <w:rFonts w:eastAsia="Calibri"/>
              </w:rPr>
            </w:pPr>
          </w:p>
          <w:p w14:paraId="2017E85C" w14:textId="77777777" w:rsidR="000F13BB" w:rsidRPr="00C86E87" w:rsidRDefault="000F13BB" w:rsidP="002139CB">
            <w:pPr>
              <w:ind w:left="2880"/>
              <w:rPr>
                <w:rFonts w:eastAsia="Calibri"/>
              </w:rPr>
            </w:pPr>
            <w:r w:rsidRPr="00C86E87">
              <w:rPr>
                <w:rFonts w:eastAsia="Calibri"/>
              </w:rPr>
              <w:t>Plaintiff,</w:t>
            </w:r>
          </w:p>
          <w:p w14:paraId="5039C9FE" w14:textId="77777777" w:rsidR="000F13BB" w:rsidRPr="00C86E87" w:rsidRDefault="000F13BB" w:rsidP="002139CB">
            <w:pPr>
              <w:rPr>
                <w:rFonts w:eastAsia="Calibri"/>
              </w:rPr>
            </w:pPr>
          </w:p>
          <w:p w14:paraId="5406F46E" w14:textId="77777777" w:rsidR="000F13BB" w:rsidRPr="00C86E87" w:rsidRDefault="000F13BB" w:rsidP="002139CB">
            <w:pPr>
              <w:rPr>
                <w:rFonts w:eastAsia="Calibri"/>
              </w:rPr>
            </w:pPr>
            <w:proofErr w:type="gramStart"/>
            <w:r w:rsidRPr="00C86E87">
              <w:rPr>
                <w:rFonts w:eastAsia="Calibri"/>
              </w:rPr>
              <w:t>vs</w:t>
            </w:r>
            <w:proofErr w:type="gramEnd"/>
            <w:r w:rsidRPr="00C86E87">
              <w:rPr>
                <w:rFonts w:eastAsia="Calibri"/>
              </w:rPr>
              <w:t>.</w:t>
            </w:r>
          </w:p>
          <w:p w14:paraId="29DC1407" w14:textId="77777777" w:rsidR="000F13BB" w:rsidRPr="00C86E87" w:rsidRDefault="000F13BB" w:rsidP="002139CB">
            <w:pPr>
              <w:rPr>
                <w:rFonts w:eastAsia="Calibri"/>
              </w:rPr>
            </w:pPr>
          </w:p>
          <w:p w14:paraId="7AF911E1" w14:textId="77777777" w:rsidR="000F13BB" w:rsidRPr="00C86E87" w:rsidRDefault="000F13BB" w:rsidP="002139CB">
            <w:pPr>
              <w:rPr>
                <w:rFonts w:eastAsia="Calibri"/>
              </w:rPr>
            </w:pPr>
            <w:r w:rsidRPr="00C86E87">
              <w:rPr>
                <w:rFonts w:eastAsia="Calibri"/>
              </w:rPr>
              <w:t xml:space="preserve">Elizabeth Lime, and </w:t>
            </w:r>
            <w:proofErr w:type="spellStart"/>
            <w:r w:rsidRPr="00C86E87">
              <w:rPr>
                <w:rFonts w:eastAsia="Calibri"/>
              </w:rPr>
              <w:t>TinyTV</w:t>
            </w:r>
            <w:proofErr w:type="spellEnd"/>
            <w:r w:rsidRPr="00C86E87">
              <w:rPr>
                <w:rFonts w:eastAsia="Calibri"/>
              </w:rPr>
              <w:t>, Inc.</w:t>
            </w:r>
          </w:p>
          <w:p w14:paraId="402FCD90" w14:textId="77777777" w:rsidR="000F13BB" w:rsidRPr="00C86E87" w:rsidRDefault="000F13BB" w:rsidP="002139CB">
            <w:pPr>
              <w:rPr>
                <w:rFonts w:eastAsia="Calibri"/>
              </w:rPr>
            </w:pPr>
          </w:p>
          <w:p w14:paraId="04EDEBA7" w14:textId="77777777" w:rsidR="000F13BB" w:rsidRPr="00C86E87" w:rsidRDefault="000F13BB" w:rsidP="002139CB">
            <w:pPr>
              <w:ind w:left="2880"/>
              <w:rPr>
                <w:rFonts w:eastAsia="Calibri"/>
              </w:rPr>
            </w:pPr>
            <w:r w:rsidRPr="00C86E87">
              <w:rPr>
                <w:rFonts w:eastAsia="Calibri"/>
              </w:rPr>
              <w:t>Defendants.</w:t>
            </w:r>
          </w:p>
          <w:p w14:paraId="36760D15" w14:textId="77777777" w:rsidR="000F13BB" w:rsidRPr="00C86E87" w:rsidRDefault="000F13BB" w:rsidP="002139CB">
            <w:pPr>
              <w:rPr>
                <w:rFonts w:eastAsia="Calibri"/>
              </w:rPr>
            </w:pPr>
          </w:p>
        </w:tc>
        <w:tc>
          <w:tcPr>
            <w:tcW w:w="4788" w:type="dxa"/>
            <w:vAlign w:val="center"/>
          </w:tcPr>
          <w:p w14:paraId="69E0A6EF" w14:textId="77777777" w:rsidR="000F13BB" w:rsidRPr="00C86E87" w:rsidRDefault="000F13BB" w:rsidP="002139CB">
            <w:pPr>
              <w:jc w:val="right"/>
              <w:rPr>
                <w:rFonts w:eastAsia="Calibri"/>
              </w:rPr>
            </w:pPr>
            <w:r w:rsidRPr="00C86E87">
              <w:rPr>
                <w:rFonts w:eastAsia="Calibri"/>
              </w:rPr>
              <w:t>Court File No. 27-CV-12-1234</w:t>
            </w:r>
          </w:p>
          <w:p w14:paraId="6A710387" w14:textId="77777777" w:rsidR="000F13BB" w:rsidRPr="00C86E87" w:rsidRDefault="000F13BB" w:rsidP="002139CB">
            <w:pPr>
              <w:jc w:val="right"/>
              <w:rPr>
                <w:rFonts w:eastAsia="Calibri"/>
              </w:rPr>
            </w:pPr>
          </w:p>
          <w:p w14:paraId="0CA130AE" w14:textId="77777777" w:rsidR="000F13BB" w:rsidRPr="00C86E87" w:rsidRDefault="000F13BB" w:rsidP="002139CB">
            <w:pPr>
              <w:jc w:val="right"/>
              <w:rPr>
                <w:rFonts w:eastAsia="Calibri"/>
                <w:b/>
              </w:rPr>
            </w:pPr>
            <w:r w:rsidRPr="00C86E87">
              <w:rPr>
                <w:rFonts w:eastAsia="Calibri"/>
                <w:b/>
              </w:rPr>
              <w:t>PLAINTIFF’S MEMORANDUM IN OPPOSITION TO DEFENDANTS’ MOTION TO DISMISS COMPLAINT</w:t>
            </w:r>
          </w:p>
        </w:tc>
      </w:tr>
    </w:tbl>
    <w:p w14:paraId="76FE5452" w14:textId="77777777" w:rsidR="000F13BB" w:rsidRPr="00C86E87" w:rsidRDefault="000F13BB" w:rsidP="000F13BB">
      <w:pPr>
        <w:ind w:left="107"/>
        <w:rPr>
          <w:szCs w:val="24"/>
        </w:rPr>
      </w:pPr>
      <w:r w:rsidRPr="00C86E87">
        <w:rPr>
          <w:szCs w:val="24"/>
        </w:rPr>
        <w:t> </w:t>
      </w:r>
    </w:p>
    <w:p w14:paraId="15F5B3FF" w14:textId="77777777" w:rsidR="00284076" w:rsidRPr="00C86E87" w:rsidRDefault="00284076" w:rsidP="00284076">
      <w:pPr>
        <w:jc w:val="both"/>
        <w:rPr>
          <w:i/>
        </w:rPr>
      </w:pPr>
    </w:p>
    <w:p w14:paraId="0E06E7D3" w14:textId="77777777" w:rsidR="008A36B3" w:rsidRPr="00C86E87" w:rsidRDefault="008A36B3" w:rsidP="00284076"/>
    <w:p w14:paraId="39F8473E" w14:textId="77777777" w:rsidR="00284076" w:rsidRPr="00C86E87" w:rsidRDefault="00284076" w:rsidP="00284076"/>
    <w:p w14:paraId="04D1FB34" w14:textId="77777777" w:rsidR="00284076" w:rsidRPr="00B176F4" w:rsidRDefault="00284076" w:rsidP="00951AA7">
      <w:pPr>
        <w:pStyle w:val="Heading2"/>
        <w:contextualSpacing/>
        <w:rPr>
          <w:u w:val="single"/>
        </w:rPr>
      </w:pPr>
      <w:r w:rsidRPr="00B176F4">
        <w:rPr>
          <w:u w:val="single"/>
        </w:rPr>
        <w:t>INTRODUCTION</w:t>
      </w:r>
    </w:p>
    <w:p w14:paraId="069EC007" w14:textId="77777777" w:rsidR="007254B3" w:rsidRPr="00C86E87" w:rsidRDefault="007254B3" w:rsidP="00951AA7">
      <w:pPr>
        <w:contextualSpacing/>
      </w:pPr>
    </w:p>
    <w:p w14:paraId="1339809F" w14:textId="77777777" w:rsidR="00212B9E" w:rsidRPr="00C86E87" w:rsidRDefault="00212B9E" w:rsidP="00951AA7">
      <w:pPr>
        <w:contextualSpacing/>
      </w:pPr>
    </w:p>
    <w:p w14:paraId="20081075" w14:textId="77777777" w:rsidR="00284076" w:rsidRPr="00C86E87" w:rsidRDefault="00212B9E" w:rsidP="00951AA7">
      <w:pPr>
        <w:spacing w:line="480" w:lineRule="auto"/>
        <w:ind w:firstLine="720"/>
        <w:contextualSpacing/>
        <w:jc w:val="both"/>
      </w:pPr>
      <w:r w:rsidRPr="00C86E87">
        <w:t xml:space="preserve">In </w:t>
      </w:r>
      <w:proofErr w:type="gramStart"/>
      <w:r w:rsidRPr="00C86E87">
        <w:t>March,</w:t>
      </w:r>
      <w:proofErr w:type="gramEnd"/>
      <w:r w:rsidRPr="00C86E87">
        <w:t xml:space="preserve"> 2010, Elizabeth Lime signed a written contract with OGS TV in which she acknowledged that </w:t>
      </w:r>
      <w:r w:rsidR="000C5412" w:rsidRPr="00C86E87">
        <w:t>a</w:t>
      </w:r>
      <w:r w:rsidRPr="00C86E87">
        <w:t xml:space="preserve"> screenplay she wrote was a “work made for hire” as defined by the Copyright Act of 1976. She and </w:t>
      </w:r>
      <w:proofErr w:type="spellStart"/>
      <w:r w:rsidRPr="00C86E87">
        <w:t>TinyTV</w:t>
      </w:r>
      <w:proofErr w:type="spellEnd"/>
      <w:r w:rsidRPr="00C86E87">
        <w:t xml:space="preserve"> then proceeded to use that same screenplay for a different show, in violation of OGS’s proprietary rights as the rightfu</w:t>
      </w:r>
      <w:r w:rsidR="002577DF" w:rsidRPr="00C86E87">
        <w:t>l owner of the screenplay. The D</w:t>
      </w:r>
      <w:r w:rsidRPr="00C86E87">
        <w:t xml:space="preserve">efendants now </w:t>
      </w:r>
      <w:r w:rsidR="002577DF" w:rsidRPr="00C86E87">
        <w:t>argue</w:t>
      </w:r>
      <w:r w:rsidRPr="00C86E87">
        <w:t xml:space="preserve"> that the contract signed by Lime </w:t>
      </w:r>
      <w:r w:rsidR="005716D1" w:rsidRPr="00C86E87">
        <w:t>did not satisfy the writing requirement</w:t>
      </w:r>
      <w:r w:rsidR="000C5412" w:rsidRPr="00C86E87">
        <w:t xml:space="preserve"> for works made for hire, as defined in the Copyright Act, because it was signed after the screenplay was written. The Defendants’ position lacks merit primarily because their interpretation of the Copyright Act is cont</w:t>
      </w:r>
      <w:r w:rsidR="00166834">
        <w:t xml:space="preserve">rary to its plain </w:t>
      </w:r>
      <w:r w:rsidR="002577DF" w:rsidRPr="00C86E87">
        <w:t>meaning. The C</w:t>
      </w:r>
      <w:r w:rsidR="000C5412" w:rsidRPr="00C86E87">
        <w:t>ourt sh</w:t>
      </w:r>
      <w:r w:rsidR="000F13BB" w:rsidRPr="00C86E87">
        <w:t>ould deny Defendants’ motion to dismiss</w:t>
      </w:r>
      <w:r w:rsidR="00560584" w:rsidRPr="00C86E87">
        <w:t>.</w:t>
      </w:r>
    </w:p>
    <w:p w14:paraId="706C10EC" w14:textId="77777777" w:rsidR="007254B3" w:rsidRPr="00C86E87" w:rsidRDefault="007254B3" w:rsidP="00951AA7">
      <w:pPr>
        <w:spacing w:line="480" w:lineRule="auto"/>
        <w:ind w:firstLine="720"/>
        <w:contextualSpacing/>
        <w:jc w:val="both"/>
      </w:pPr>
    </w:p>
    <w:p w14:paraId="7CD22551" w14:textId="77777777" w:rsidR="002B11EA" w:rsidRPr="00C86E87" w:rsidRDefault="002B11EA" w:rsidP="00951AA7">
      <w:pPr>
        <w:spacing w:line="480" w:lineRule="auto"/>
        <w:ind w:firstLine="720"/>
        <w:contextualSpacing/>
        <w:jc w:val="both"/>
      </w:pPr>
    </w:p>
    <w:p w14:paraId="24EE90BC" w14:textId="77777777" w:rsidR="00284076" w:rsidRPr="00B176F4" w:rsidRDefault="00284076" w:rsidP="00951AA7">
      <w:pPr>
        <w:pStyle w:val="Heading2"/>
        <w:contextualSpacing/>
        <w:rPr>
          <w:u w:val="single"/>
        </w:rPr>
      </w:pPr>
      <w:r w:rsidRPr="00B176F4">
        <w:rPr>
          <w:u w:val="single"/>
        </w:rPr>
        <w:lastRenderedPageBreak/>
        <w:t>FACTUAL BACKGROUND</w:t>
      </w:r>
    </w:p>
    <w:p w14:paraId="6F333CF5" w14:textId="77777777" w:rsidR="007254B3" w:rsidRPr="00C86E87" w:rsidRDefault="007254B3" w:rsidP="00951AA7">
      <w:pPr>
        <w:contextualSpacing/>
      </w:pPr>
    </w:p>
    <w:p w14:paraId="1BB679D8" w14:textId="77777777" w:rsidR="008A36B3" w:rsidRPr="00C86E87" w:rsidRDefault="008A36B3" w:rsidP="00951AA7">
      <w:pPr>
        <w:contextualSpacing/>
        <w:jc w:val="center"/>
      </w:pPr>
    </w:p>
    <w:p w14:paraId="426D0A3E" w14:textId="77777777" w:rsidR="00685EFD" w:rsidRPr="00C86E87" w:rsidRDefault="00C17802" w:rsidP="00951AA7">
      <w:pPr>
        <w:spacing w:line="480" w:lineRule="auto"/>
        <w:ind w:firstLine="720"/>
        <w:contextualSpacing/>
        <w:jc w:val="both"/>
      </w:pPr>
      <w:r w:rsidRPr="00C86E87">
        <w:t>OGS TV produces and airs a romantic “</w:t>
      </w:r>
      <w:proofErr w:type="spellStart"/>
      <w:r w:rsidRPr="00C86E87">
        <w:t>dramedy</w:t>
      </w:r>
      <w:proofErr w:type="spellEnd"/>
      <w:r w:rsidRPr="00C86E87">
        <w:t xml:space="preserve">” called </w:t>
      </w:r>
      <w:r w:rsidRPr="00C86E87">
        <w:rPr>
          <w:i/>
        </w:rPr>
        <w:t>Lawless Love</w:t>
      </w:r>
      <w:r w:rsidRPr="00C86E87">
        <w:t xml:space="preserve">. </w:t>
      </w:r>
      <w:r w:rsidR="00C11249" w:rsidRPr="00C86E87">
        <w:t xml:space="preserve">OGS employs eight writers, who collaboratively </w:t>
      </w:r>
      <w:r w:rsidR="001D6C1A" w:rsidRPr="00C86E87">
        <w:t>prepare screenplays for each episode of the series.</w:t>
      </w:r>
      <w:r w:rsidR="005D1B67" w:rsidRPr="00C86E87">
        <w:t xml:space="preserve"> </w:t>
      </w:r>
      <w:r w:rsidR="004C6317" w:rsidRPr="00C86E87">
        <w:t xml:space="preserve">(Complaint ¶ 5.) </w:t>
      </w:r>
      <w:r w:rsidR="00875970" w:rsidRPr="00C86E87">
        <w:t xml:space="preserve">OGS is considered the author of each and every one of those </w:t>
      </w:r>
      <w:r w:rsidR="001D6C1A" w:rsidRPr="00C86E87">
        <w:t xml:space="preserve">screenplays </w:t>
      </w:r>
      <w:r w:rsidR="005D1B67" w:rsidRPr="00C86E87">
        <w:t>under the terms of the Copyright Act of 1976.</w:t>
      </w:r>
      <w:r w:rsidR="00875970" w:rsidRPr="00C86E87">
        <w:t xml:space="preserve"> </w:t>
      </w:r>
      <w:r w:rsidR="004C6317" w:rsidRPr="00C86E87">
        <w:t>(</w:t>
      </w:r>
      <w:r w:rsidR="004C6317" w:rsidRPr="00C86E87">
        <w:rPr>
          <w:i/>
        </w:rPr>
        <w:t>Id</w:t>
      </w:r>
      <w:r w:rsidR="004C6317" w:rsidRPr="00C86E87">
        <w:t xml:space="preserve">. ¶ 8.) </w:t>
      </w:r>
    </w:p>
    <w:p w14:paraId="6C2EBDE5" w14:textId="77777777" w:rsidR="00284076" w:rsidRPr="00C86E87" w:rsidRDefault="00AA1DF7" w:rsidP="00951AA7">
      <w:pPr>
        <w:spacing w:line="480" w:lineRule="auto"/>
        <w:ind w:firstLine="720"/>
        <w:contextualSpacing/>
        <w:jc w:val="both"/>
      </w:pPr>
      <w:r w:rsidRPr="00C86E87">
        <w:t xml:space="preserve">On March 27, 2010, Dave Nelson, the executive producer of </w:t>
      </w:r>
      <w:r w:rsidRPr="00C86E87">
        <w:rPr>
          <w:i/>
        </w:rPr>
        <w:t>Lawless Love</w:t>
      </w:r>
      <w:r w:rsidRPr="00C86E87">
        <w:t>, met with Elizabeth Lime at OGS’s main office.</w:t>
      </w:r>
      <w:r w:rsidR="004C6317" w:rsidRPr="00C86E87">
        <w:t xml:space="preserve"> (</w:t>
      </w:r>
      <w:r w:rsidR="004C6317" w:rsidRPr="00C86E87">
        <w:rPr>
          <w:i/>
        </w:rPr>
        <w:t>Id</w:t>
      </w:r>
      <w:r w:rsidR="00656F5F" w:rsidRPr="00C86E87">
        <w:t xml:space="preserve">. </w:t>
      </w:r>
      <w:r w:rsidR="004C6317" w:rsidRPr="00C86E87">
        <w:t xml:space="preserve">¶ 12.) </w:t>
      </w:r>
      <w:r w:rsidR="00685EFD" w:rsidRPr="00C86E87">
        <w:t>Nelson wanted Lime,</w:t>
      </w:r>
      <w:r w:rsidR="004C6317" w:rsidRPr="00C86E87">
        <w:t xml:space="preserve"> an experienced and respected screenplay writer</w:t>
      </w:r>
      <w:r w:rsidR="00685EFD" w:rsidRPr="00C86E87">
        <w:t>,</w:t>
      </w:r>
      <w:r w:rsidR="004C6317" w:rsidRPr="00C86E87">
        <w:t xml:space="preserve"> to write a special screenplay for one episode of the show. (</w:t>
      </w:r>
      <w:r w:rsidR="004C6317" w:rsidRPr="00C86E87">
        <w:rPr>
          <w:i/>
        </w:rPr>
        <w:t>Id</w:t>
      </w:r>
      <w:r w:rsidR="004C6317" w:rsidRPr="00C86E87">
        <w:t>. ¶</w:t>
      </w:r>
      <w:r w:rsidR="00656F5F" w:rsidRPr="00C86E87">
        <w:t>¶</w:t>
      </w:r>
      <w:r w:rsidR="004C6317" w:rsidRPr="00C86E87">
        <w:t xml:space="preserve"> 9</w:t>
      </w:r>
      <w:r w:rsidR="00685EFD" w:rsidRPr="00C86E87">
        <w:t>-11</w:t>
      </w:r>
      <w:r w:rsidR="004C6317" w:rsidRPr="00C86E87">
        <w:t xml:space="preserve">.) </w:t>
      </w:r>
      <w:r w:rsidR="008C491B" w:rsidRPr="00C86E87">
        <w:t xml:space="preserve">At the meeting, Lime agreed orally that she would prepare a screenplay for </w:t>
      </w:r>
      <w:r w:rsidR="008C491B" w:rsidRPr="00C86E87">
        <w:rPr>
          <w:i/>
        </w:rPr>
        <w:t xml:space="preserve">Lawless Love, </w:t>
      </w:r>
      <w:r w:rsidR="008C491B" w:rsidRPr="00C86E87">
        <w:t>and that she would be paid $6,000</w:t>
      </w:r>
      <w:r w:rsidR="00685EFD" w:rsidRPr="00C86E87">
        <w:t xml:space="preserve"> for it</w:t>
      </w:r>
      <w:r w:rsidR="008C491B" w:rsidRPr="00C86E87">
        <w:rPr>
          <w:i/>
        </w:rPr>
        <w:t xml:space="preserve">. </w:t>
      </w:r>
      <w:r w:rsidR="008C491B" w:rsidRPr="00C86E87">
        <w:t>(</w:t>
      </w:r>
      <w:r w:rsidR="008C491B" w:rsidRPr="00C86E87">
        <w:rPr>
          <w:i/>
        </w:rPr>
        <w:t>Id</w:t>
      </w:r>
      <w:r w:rsidR="008C491B" w:rsidRPr="00C86E87">
        <w:t>. ¶</w:t>
      </w:r>
      <w:r w:rsidR="00656F5F" w:rsidRPr="00C86E87">
        <w:t>¶</w:t>
      </w:r>
      <w:r w:rsidR="008C491B" w:rsidRPr="00C86E87">
        <w:t xml:space="preserve"> 13</w:t>
      </w:r>
      <w:r w:rsidR="00656F5F" w:rsidRPr="00C86E87">
        <w:t>-</w:t>
      </w:r>
      <w:r w:rsidR="008C491B" w:rsidRPr="00C86E87">
        <w:t>15.) Lime also</w:t>
      </w:r>
      <w:r w:rsidR="00696D6C" w:rsidRPr="00C86E87">
        <w:t xml:space="preserve"> explicitly</w:t>
      </w:r>
      <w:r w:rsidR="008C491B" w:rsidRPr="00C86E87">
        <w:t xml:space="preserve"> acknowledged</w:t>
      </w:r>
      <w:r w:rsidR="00696D6C" w:rsidRPr="00C86E87">
        <w:t xml:space="preserve"> at the meeting</w:t>
      </w:r>
      <w:r w:rsidR="008C491B" w:rsidRPr="00C86E87">
        <w:t xml:space="preserve"> that she understood that her work on the screenplay was </w:t>
      </w:r>
      <w:r w:rsidR="00696D6C" w:rsidRPr="00C86E87">
        <w:t>“for hire” and that, for all intents and purposes, OGS would be the author. (</w:t>
      </w:r>
      <w:r w:rsidR="00696D6C" w:rsidRPr="00C86E87">
        <w:rPr>
          <w:i/>
        </w:rPr>
        <w:t>Id</w:t>
      </w:r>
      <w:r w:rsidR="00696D6C" w:rsidRPr="00C86E87">
        <w:t>. ¶</w:t>
      </w:r>
      <w:r w:rsidR="00656F5F" w:rsidRPr="00C86E87">
        <w:t>¶</w:t>
      </w:r>
      <w:r w:rsidR="00696D6C" w:rsidRPr="00C86E87">
        <w:t xml:space="preserve"> 16</w:t>
      </w:r>
      <w:r w:rsidR="00656F5F" w:rsidRPr="00C86E87">
        <w:t>-</w:t>
      </w:r>
      <w:r w:rsidR="00696D6C" w:rsidRPr="00C86E87">
        <w:t>17.)</w:t>
      </w:r>
    </w:p>
    <w:p w14:paraId="5837DE12" w14:textId="77777777" w:rsidR="00626867" w:rsidRPr="00C86E87" w:rsidRDefault="00685EFD" w:rsidP="00626867">
      <w:pPr>
        <w:widowControl/>
        <w:spacing w:line="480" w:lineRule="auto"/>
        <w:ind w:firstLine="720"/>
        <w:contextualSpacing/>
        <w:jc w:val="both"/>
      </w:pPr>
      <w:r w:rsidRPr="00C86E87">
        <w:t>On April 1, 2010, Lime submitted a completed screenplay entitled “Anticipatory Repudiation.” (</w:t>
      </w:r>
      <w:r w:rsidRPr="00C86E87">
        <w:rPr>
          <w:i/>
        </w:rPr>
        <w:t>Id</w:t>
      </w:r>
      <w:r w:rsidRPr="00C86E87">
        <w:t>. ¶ 21.) OGS then applied for a copyright on the work,</w:t>
      </w:r>
      <w:r w:rsidR="00BF3629" w:rsidRPr="00C86E87">
        <w:t xml:space="preserve"> and received a certificate of registration on April 2, making OGS the author of the screenplay and the owner of all rights, title, and interest in it. (</w:t>
      </w:r>
      <w:r w:rsidR="00BF3629" w:rsidRPr="00C86E87">
        <w:rPr>
          <w:i/>
        </w:rPr>
        <w:t>Id</w:t>
      </w:r>
      <w:r w:rsidR="00BF3629" w:rsidRPr="00C86E87">
        <w:t>. ¶</w:t>
      </w:r>
      <w:r w:rsidR="00656F5F" w:rsidRPr="00C86E87">
        <w:t>¶ 22-</w:t>
      </w:r>
      <w:r w:rsidR="00BF3629" w:rsidRPr="00C86E87">
        <w:t xml:space="preserve">23.) On April 6, 2010, Lime returned to OGS’s main office, where she picked up a check for $6,000 and signed a document labeled “Work-Made-For-Hire Agreement” that stated in its entirety: “I understand and agree that I have prepared the </w:t>
      </w:r>
      <w:proofErr w:type="gramStart"/>
      <w:r w:rsidR="00BF3629" w:rsidRPr="00C86E87">
        <w:t>screenplay</w:t>
      </w:r>
      <w:proofErr w:type="gramEnd"/>
      <w:r w:rsidR="00BF3629" w:rsidRPr="00C86E87">
        <w:t>, ‘Anticipatory Repudiation,’ as a work made for hire under the federal Copyright Act of 1976. Pursuant to this law, OGS TV is the author of this screenplay.” (</w:t>
      </w:r>
      <w:r w:rsidR="00BF3629" w:rsidRPr="00C86E87">
        <w:rPr>
          <w:i/>
        </w:rPr>
        <w:t>Id</w:t>
      </w:r>
      <w:r w:rsidR="00BF3629" w:rsidRPr="00C86E87">
        <w:t xml:space="preserve">. ¶ 24.) </w:t>
      </w:r>
    </w:p>
    <w:p w14:paraId="724F3752" w14:textId="77777777" w:rsidR="00284076" w:rsidRPr="00C86E87" w:rsidRDefault="00BF3629" w:rsidP="00626867">
      <w:pPr>
        <w:widowControl/>
        <w:spacing w:line="480" w:lineRule="auto"/>
        <w:ind w:firstLine="720"/>
        <w:contextualSpacing/>
        <w:jc w:val="both"/>
      </w:pPr>
      <w:r w:rsidRPr="00C86E87">
        <w:t>“Anticipatory Repudiation”</w:t>
      </w:r>
      <w:r w:rsidRPr="00C86E87">
        <w:rPr>
          <w:i/>
        </w:rPr>
        <w:t xml:space="preserve"> </w:t>
      </w:r>
      <w:r w:rsidRPr="00C86E87">
        <w:t xml:space="preserve">was not appropriate for </w:t>
      </w:r>
      <w:r w:rsidRPr="00C86E87">
        <w:rPr>
          <w:i/>
        </w:rPr>
        <w:t>Lawless Love</w:t>
      </w:r>
      <w:r w:rsidRPr="00C86E87">
        <w:t>, however, and OGS elected not to use it. (</w:t>
      </w:r>
      <w:r w:rsidRPr="00C86E87">
        <w:rPr>
          <w:i/>
        </w:rPr>
        <w:t>Id</w:t>
      </w:r>
      <w:r w:rsidR="000D728C" w:rsidRPr="00C86E87">
        <w:t>.</w:t>
      </w:r>
      <w:r w:rsidRPr="00C86E87">
        <w:t xml:space="preserve"> ¶ 26.) </w:t>
      </w:r>
      <w:r w:rsidR="00A737BE" w:rsidRPr="00C86E87">
        <w:t xml:space="preserve">In August 2010, Lime and </w:t>
      </w:r>
      <w:proofErr w:type="spellStart"/>
      <w:r w:rsidR="00A737BE" w:rsidRPr="00C86E87">
        <w:t>TinyTV</w:t>
      </w:r>
      <w:proofErr w:type="spellEnd"/>
      <w:r w:rsidR="00A737BE" w:rsidRPr="00C86E87">
        <w:t xml:space="preserve"> produced a screenplay for the pilot episode of a new series called </w:t>
      </w:r>
      <w:r w:rsidR="00A737BE" w:rsidRPr="00C86E87">
        <w:rPr>
          <w:i/>
        </w:rPr>
        <w:t xml:space="preserve">The Tin Can </w:t>
      </w:r>
      <w:r w:rsidR="00A737BE" w:rsidRPr="00C86E87">
        <w:t xml:space="preserve">entitled “The Love Below,” which was </w:t>
      </w:r>
      <w:r w:rsidR="00A737BE" w:rsidRPr="00C86E87">
        <w:lastRenderedPageBreak/>
        <w:t xml:space="preserve">uncannily similar to “Anticipatory Repudiation.” In fact, </w:t>
      </w:r>
      <w:r w:rsidR="008C3E73" w:rsidRPr="00C86E87">
        <w:t xml:space="preserve">neither </w:t>
      </w:r>
      <w:r w:rsidR="00A737BE" w:rsidRPr="00C86E87">
        <w:t xml:space="preserve">Lime </w:t>
      </w:r>
      <w:r w:rsidR="008C3E73" w:rsidRPr="00C86E87">
        <w:t xml:space="preserve">nor </w:t>
      </w:r>
      <w:proofErr w:type="spellStart"/>
      <w:r w:rsidR="008C3E73" w:rsidRPr="00C86E87">
        <w:t>TinyTV</w:t>
      </w:r>
      <w:proofErr w:type="spellEnd"/>
      <w:r w:rsidR="008C3E73" w:rsidRPr="00C86E87">
        <w:t xml:space="preserve"> </w:t>
      </w:r>
      <w:r w:rsidR="00A737BE" w:rsidRPr="00C86E87">
        <w:t>dispute OGS’s contention that</w:t>
      </w:r>
      <w:r w:rsidR="005D6104" w:rsidRPr="00C86E87">
        <w:t xml:space="preserve"> “The Love Below” was “copied in substantial part” from “</w:t>
      </w:r>
      <w:r w:rsidR="008C3E73" w:rsidRPr="00C86E87">
        <w:t xml:space="preserve">Anticipatory Repudiation.” </w:t>
      </w:r>
      <w:r w:rsidR="005D6104" w:rsidRPr="00C86E87">
        <w:t>(</w:t>
      </w:r>
      <w:r w:rsidR="005D6104" w:rsidRPr="00C86E87">
        <w:rPr>
          <w:i/>
        </w:rPr>
        <w:t xml:space="preserve">See Id. </w:t>
      </w:r>
      <w:r w:rsidR="005D6104" w:rsidRPr="00C86E87">
        <w:t>¶ 28.)</w:t>
      </w:r>
      <w:r w:rsidR="008C3E73" w:rsidRPr="00C86E87">
        <w:t xml:space="preserve"> In addition, Lime and </w:t>
      </w:r>
      <w:proofErr w:type="spellStart"/>
      <w:r w:rsidR="008C3E73" w:rsidRPr="00C86E87">
        <w:t>TinyTV</w:t>
      </w:r>
      <w:proofErr w:type="spellEnd"/>
      <w:r w:rsidR="008C3E73" w:rsidRPr="00C86E87">
        <w:t xml:space="preserve"> do not dispute that both screenplays contain identical dialogues, characters, and storylines, and that only minor alterations were made to the characters’ names and occupations. (</w:t>
      </w:r>
      <w:r w:rsidR="000D728C" w:rsidRPr="00C86E87">
        <w:rPr>
          <w:i/>
        </w:rPr>
        <w:t xml:space="preserve">Id. </w:t>
      </w:r>
      <w:r w:rsidR="008C3E73" w:rsidRPr="00C86E87">
        <w:t xml:space="preserve">¶ 31.) “The Love Below” was broadcast on television on September 7, 2010, </w:t>
      </w:r>
      <w:r w:rsidR="008B65AE" w:rsidRPr="00C86E87">
        <w:t xml:space="preserve">generating profits for Lime and </w:t>
      </w:r>
      <w:proofErr w:type="spellStart"/>
      <w:r w:rsidR="008B65AE" w:rsidRPr="00C86E87">
        <w:t>TinyTV</w:t>
      </w:r>
      <w:proofErr w:type="spellEnd"/>
      <w:r w:rsidR="008B65AE" w:rsidRPr="00C86E87">
        <w:t xml:space="preserve"> – profits that should rightly belong to OGS.</w:t>
      </w:r>
    </w:p>
    <w:p w14:paraId="640A3C5F" w14:textId="77777777" w:rsidR="007254B3" w:rsidRPr="00C86E87" w:rsidRDefault="007254B3" w:rsidP="00951AA7">
      <w:pPr>
        <w:widowControl/>
        <w:spacing w:line="480" w:lineRule="auto"/>
        <w:ind w:firstLine="720"/>
        <w:contextualSpacing/>
        <w:jc w:val="both"/>
      </w:pPr>
    </w:p>
    <w:p w14:paraId="77BB04D1" w14:textId="77777777" w:rsidR="007006B9" w:rsidRPr="00B176F4" w:rsidRDefault="007254B3" w:rsidP="007006B9">
      <w:pPr>
        <w:widowControl/>
        <w:spacing w:line="480" w:lineRule="auto"/>
        <w:ind w:firstLine="720"/>
        <w:contextualSpacing/>
        <w:jc w:val="center"/>
        <w:rPr>
          <w:b/>
          <w:u w:val="single"/>
        </w:rPr>
      </w:pPr>
      <w:r w:rsidRPr="00B176F4">
        <w:rPr>
          <w:b/>
          <w:u w:val="single"/>
        </w:rPr>
        <w:t>ARGUMENT</w:t>
      </w:r>
    </w:p>
    <w:p w14:paraId="5CB4ACE0" w14:textId="77777777" w:rsidR="002577DF" w:rsidRPr="00C86E87" w:rsidRDefault="0079059D" w:rsidP="0079059D">
      <w:pPr>
        <w:widowControl/>
        <w:tabs>
          <w:tab w:val="left" w:pos="4387"/>
        </w:tabs>
        <w:spacing w:line="480" w:lineRule="auto"/>
        <w:ind w:firstLine="720"/>
        <w:contextualSpacing/>
        <w:rPr>
          <w:b/>
        </w:rPr>
      </w:pPr>
      <w:r w:rsidRPr="00C86E87">
        <w:rPr>
          <w:b/>
        </w:rPr>
        <w:tab/>
      </w:r>
    </w:p>
    <w:p w14:paraId="1A58FD65" w14:textId="77777777" w:rsidR="00373644" w:rsidRPr="00B176F4" w:rsidRDefault="00482866" w:rsidP="00B176F4">
      <w:pPr>
        <w:widowControl/>
        <w:contextualSpacing/>
        <w:rPr>
          <w:b/>
        </w:rPr>
      </w:pPr>
      <w:r w:rsidRPr="00B176F4">
        <w:rPr>
          <w:b/>
        </w:rPr>
        <w:t xml:space="preserve">UNDER 17 U.S.C. </w:t>
      </w:r>
      <w:r w:rsidRPr="00B176F4">
        <w:rPr>
          <w:b/>
          <w:bCs/>
          <w:szCs w:val="24"/>
        </w:rPr>
        <w:t>§ 101(2)</w:t>
      </w:r>
      <w:r w:rsidRPr="00B176F4">
        <w:rPr>
          <w:b/>
          <w:snapToGrid/>
          <w:szCs w:val="24"/>
        </w:rPr>
        <w:t xml:space="preserve">, </w:t>
      </w:r>
      <w:r w:rsidR="00000642" w:rsidRPr="00B176F4">
        <w:rPr>
          <w:b/>
        </w:rPr>
        <w:t xml:space="preserve">A SIGNED WRITING </w:t>
      </w:r>
      <w:r w:rsidRPr="00B176F4">
        <w:rPr>
          <w:b/>
        </w:rPr>
        <w:t>FORMING</w:t>
      </w:r>
      <w:r w:rsidR="00000642" w:rsidRPr="00B176F4">
        <w:rPr>
          <w:b/>
        </w:rPr>
        <w:t xml:space="preserve"> A WORK MADE FOR HIRE AGREEMENT DOES NOT </w:t>
      </w:r>
      <w:r w:rsidRPr="00B176F4">
        <w:rPr>
          <w:b/>
        </w:rPr>
        <w:t xml:space="preserve">NEED TO PRECEDE </w:t>
      </w:r>
      <w:r w:rsidR="00000642" w:rsidRPr="00B176F4">
        <w:rPr>
          <w:b/>
        </w:rPr>
        <w:t>CREATION OF THE WORK</w:t>
      </w:r>
    </w:p>
    <w:p w14:paraId="62FDD45F" w14:textId="77777777" w:rsidR="007254B3" w:rsidRPr="00C86E87" w:rsidRDefault="007254B3" w:rsidP="00951AA7">
      <w:pPr>
        <w:widowControl/>
        <w:spacing w:line="480" w:lineRule="auto"/>
        <w:ind w:firstLine="720"/>
        <w:contextualSpacing/>
        <w:jc w:val="both"/>
      </w:pPr>
    </w:p>
    <w:p w14:paraId="3EC921B2" w14:textId="77777777" w:rsidR="00E61C38" w:rsidRPr="00C86E87" w:rsidRDefault="00BC1933" w:rsidP="00E61C38">
      <w:pPr>
        <w:widowControl/>
        <w:spacing w:line="480" w:lineRule="auto"/>
        <w:ind w:firstLine="720"/>
        <w:contextualSpacing/>
        <w:jc w:val="both"/>
      </w:pPr>
      <w:r w:rsidRPr="00C86E87">
        <w:t>T</w:t>
      </w:r>
      <w:r w:rsidR="00E61C38" w:rsidRPr="00C86E87">
        <w:t>he only issue presented in this case is whether the written instrument required by the Copyright Act of 1976 must precede the creation of the work. It does not.</w:t>
      </w:r>
    </w:p>
    <w:p w14:paraId="451E73B1" w14:textId="77777777" w:rsidR="006D1277" w:rsidRPr="00C86E87" w:rsidRDefault="00A7019D" w:rsidP="006D1277">
      <w:pPr>
        <w:widowControl/>
        <w:spacing w:line="480" w:lineRule="auto"/>
        <w:ind w:firstLine="720"/>
        <w:contextualSpacing/>
        <w:jc w:val="both"/>
        <w:rPr>
          <w:snapToGrid/>
          <w:szCs w:val="24"/>
        </w:rPr>
      </w:pPr>
      <w:r w:rsidRPr="00C86E87">
        <w:t xml:space="preserve">The Copyright Act of 1976 </w:t>
      </w:r>
      <w:r w:rsidR="00137933" w:rsidRPr="00C86E87">
        <w:t xml:space="preserve">provides two definitions of what constitutes a work made for hire. The first is “a work prepared by an employee within the scope of his or her employment.” </w:t>
      </w:r>
      <w:proofErr w:type="gramStart"/>
      <w:r w:rsidR="00EC0C58" w:rsidRPr="00C86E87">
        <w:rPr>
          <w:bCs/>
          <w:szCs w:val="24"/>
        </w:rPr>
        <w:t>17 U.S.C. § 101(1)</w:t>
      </w:r>
      <w:r w:rsidR="00EC0C58" w:rsidRPr="00C86E87">
        <w:rPr>
          <w:snapToGrid/>
          <w:szCs w:val="24"/>
        </w:rPr>
        <w:t>.</w:t>
      </w:r>
      <w:proofErr w:type="gramEnd"/>
      <w:r w:rsidR="00EC0C58" w:rsidRPr="00C86E87">
        <w:rPr>
          <w:snapToGrid/>
          <w:szCs w:val="24"/>
        </w:rPr>
        <w:t xml:space="preserve"> </w:t>
      </w:r>
      <w:r w:rsidR="00137933" w:rsidRPr="00C86E87">
        <w:t xml:space="preserve">The second, and the one that is germane to this case, is </w:t>
      </w:r>
      <w:r w:rsidR="00C923ED" w:rsidRPr="00C86E87">
        <w:t>“</w:t>
      </w:r>
      <w:r w:rsidR="00C923ED" w:rsidRPr="00C86E87">
        <w:rPr>
          <w:snapToGrid/>
          <w:szCs w:val="24"/>
        </w:rPr>
        <w:t>a work specially ordered or commissioned</w:t>
      </w:r>
      <w:r w:rsidR="00C923ED" w:rsidRPr="00C86E87">
        <w:rPr>
          <w:i/>
          <w:snapToGrid/>
          <w:szCs w:val="24"/>
        </w:rPr>
        <w:t xml:space="preserve"> </w:t>
      </w:r>
      <w:r w:rsidR="00C923ED" w:rsidRPr="00C86E87">
        <w:rPr>
          <w:snapToGrid/>
          <w:szCs w:val="24"/>
        </w:rPr>
        <w:t xml:space="preserve">for use as a contribution to a collective work, as a part of a motion picture or other audiovisual work, as a translation, as a supplementary work, as a compilation, as an instructional text, as a test, as answer material for a test, or as an atlas, </w:t>
      </w:r>
      <w:r w:rsidR="00C923ED" w:rsidRPr="00C86E87">
        <w:rPr>
          <w:i/>
          <w:snapToGrid/>
          <w:szCs w:val="24"/>
        </w:rPr>
        <w:t>if the parties expressly agree in a written instrument signed by them that the work shall be considered a work made for hire</w:t>
      </w:r>
      <w:r w:rsidR="00C923ED" w:rsidRPr="00C86E87">
        <w:rPr>
          <w:snapToGrid/>
          <w:szCs w:val="24"/>
        </w:rPr>
        <w:t>.”</w:t>
      </w:r>
      <w:r w:rsidR="003D0864" w:rsidRPr="00C86E87">
        <w:rPr>
          <w:snapToGrid/>
          <w:szCs w:val="24"/>
        </w:rPr>
        <w:t xml:space="preserve"> </w:t>
      </w:r>
      <w:proofErr w:type="gramStart"/>
      <w:r w:rsidR="00301AE4" w:rsidRPr="00C86E87">
        <w:rPr>
          <w:bCs/>
          <w:szCs w:val="24"/>
        </w:rPr>
        <w:t>17 U.S.C. § 101(2)</w:t>
      </w:r>
      <w:r w:rsidR="006D0A6A" w:rsidRPr="00C86E87">
        <w:rPr>
          <w:snapToGrid/>
          <w:szCs w:val="24"/>
        </w:rPr>
        <w:t xml:space="preserve"> (</w:t>
      </w:r>
      <w:r w:rsidR="003D0864" w:rsidRPr="00C86E87">
        <w:rPr>
          <w:snapToGrid/>
          <w:szCs w:val="24"/>
        </w:rPr>
        <w:t>emphasis added</w:t>
      </w:r>
      <w:r w:rsidR="006D0A6A" w:rsidRPr="00C86E87">
        <w:rPr>
          <w:snapToGrid/>
          <w:szCs w:val="24"/>
        </w:rPr>
        <w:t>)</w:t>
      </w:r>
      <w:r w:rsidR="003D0864" w:rsidRPr="00C86E87">
        <w:rPr>
          <w:snapToGrid/>
          <w:szCs w:val="24"/>
        </w:rPr>
        <w:t>.</w:t>
      </w:r>
      <w:proofErr w:type="gramEnd"/>
      <w:r w:rsidR="002C0D31" w:rsidRPr="00C86E87">
        <w:rPr>
          <w:snapToGrid/>
          <w:szCs w:val="24"/>
        </w:rPr>
        <w:t xml:space="preserve"> </w:t>
      </w:r>
    </w:p>
    <w:p w14:paraId="3C4938D3" w14:textId="77777777" w:rsidR="00F964A8" w:rsidRPr="00C86E87" w:rsidRDefault="002C0D31" w:rsidP="006D1277">
      <w:pPr>
        <w:widowControl/>
        <w:spacing w:line="480" w:lineRule="auto"/>
        <w:ind w:firstLine="720"/>
        <w:contextualSpacing/>
        <w:jc w:val="both"/>
        <w:rPr>
          <w:rStyle w:val="informationalsmall"/>
          <w:snapToGrid/>
          <w:szCs w:val="24"/>
        </w:rPr>
      </w:pPr>
      <w:r w:rsidRPr="00C86E87">
        <w:rPr>
          <w:snapToGrid/>
          <w:szCs w:val="24"/>
        </w:rPr>
        <w:lastRenderedPageBreak/>
        <w:t xml:space="preserve">In 1992, the United States Court of Appeals for the </w:t>
      </w:r>
      <w:r w:rsidR="005150F5" w:rsidRPr="00C86E87">
        <w:rPr>
          <w:snapToGrid/>
          <w:szCs w:val="24"/>
        </w:rPr>
        <w:t>Seventh</w:t>
      </w:r>
      <w:r w:rsidRPr="00C86E87">
        <w:rPr>
          <w:snapToGrid/>
          <w:szCs w:val="24"/>
        </w:rPr>
        <w:t xml:space="preserve"> Circuit held that a signed writing must precede the creation of </w:t>
      </w:r>
      <w:r w:rsidR="004A59AC" w:rsidRPr="00C86E87">
        <w:rPr>
          <w:snapToGrid/>
          <w:szCs w:val="24"/>
        </w:rPr>
        <w:t>a</w:t>
      </w:r>
      <w:r w:rsidRPr="00C86E87">
        <w:rPr>
          <w:snapToGrid/>
          <w:szCs w:val="24"/>
        </w:rPr>
        <w:t xml:space="preserve"> work made for hire. </w:t>
      </w:r>
      <w:r w:rsidRPr="00C86E87">
        <w:rPr>
          <w:i/>
          <w:snapToGrid/>
          <w:szCs w:val="24"/>
        </w:rPr>
        <w:t>See</w:t>
      </w:r>
      <w:r w:rsidRPr="00C86E87">
        <w:rPr>
          <w:snapToGrid/>
          <w:szCs w:val="24"/>
        </w:rPr>
        <w:t xml:space="preserve"> </w:t>
      </w:r>
      <w:r w:rsidR="004A59AC" w:rsidRPr="00C86E87">
        <w:rPr>
          <w:rStyle w:val="groupheading"/>
          <w:i/>
          <w:szCs w:val="24"/>
        </w:rPr>
        <w:t xml:space="preserve">Schiller &amp; Schmidt, Inc. v. </w:t>
      </w:r>
      <w:proofErr w:type="spellStart"/>
      <w:r w:rsidR="004A59AC" w:rsidRPr="00C86E87">
        <w:rPr>
          <w:rStyle w:val="groupheading"/>
          <w:i/>
          <w:szCs w:val="24"/>
        </w:rPr>
        <w:t>Nordisco</w:t>
      </w:r>
      <w:proofErr w:type="spellEnd"/>
      <w:r w:rsidR="004A59AC" w:rsidRPr="00C86E87">
        <w:rPr>
          <w:rStyle w:val="groupheading"/>
          <w:i/>
          <w:szCs w:val="24"/>
        </w:rPr>
        <w:t xml:space="preserve"> Corp.</w:t>
      </w:r>
      <w:r w:rsidR="005150F5" w:rsidRPr="00C86E87">
        <w:rPr>
          <w:szCs w:val="24"/>
        </w:rPr>
        <w:t xml:space="preserve"> </w:t>
      </w:r>
      <w:r w:rsidR="004A59AC" w:rsidRPr="00C86E87">
        <w:rPr>
          <w:rStyle w:val="informationalsmall"/>
          <w:szCs w:val="24"/>
        </w:rPr>
        <w:t>969 F.2d 412</w:t>
      </w:r>
      <w:r w:rsidR="006A292B" w:rsidRPr="00C86E87">
        <w:rPr>
          <w:rStyle w:val="informationalsmall"/>
          <w:szCs w:val="24"/>
        </w:rPr>
        <w:t xml:space="preserve"> (7th Cir. 1992)</w:t>
      </w:r>
      <w:r w:rsidR="004A59AC" w:rsidRPr="00C86E87">
        <w:rPr>
          <w:rStyle w:val="informationalsmall"/>
          <w:szCs w:val="24"/>
        </w:rPr>
        <w:t>. Later, in 199</w:t>
      </w:r>
      <w:r w:rsidR="00F964A8" w:rsidRPr="00C86E87">
        <w:rPr>
          <w:rStyle w:val="informationalsmall"/>
          <w:szCs w:val="24"/>
        </w:rPr>
        <w:t xml:space="preserve">5, the Second Circuit acknowledged the ruling in </w:t>
      </w:r>
      <w:r w:rsidR="00F964A8" w:rsidRPr="00C86E87">
        <w:rPr>
          <w:rStyle w:val="informationalsmall"/>
          <w:i/>
          <w:szCs w:val="24"/>
        </w:rPr>
        <w:t xml:space="preserve">Schiller </w:t>
      </w:r>
      <w:r w:rsidR="00F964A8" w:rsidRPr="00C86E87">
        <w:rPr>
          <w:rStyle w:val="informationalsmall"/>
          <w:szCs w:val="24"/>
        </w:rPr>
        <w:t xml:space="preserve">and disagreed, holding that </w:t>
      </w:r>
      <w:r w:rsidR="00F964A8" w:rsidRPr="00166834">
        <w:rPr>
          <w:rStyle w:val="informationalsmall"/>
          <w:szCs w:val="24"/>
        </w:rPr>
        <w:t>a signed writing</w:t>
      </w:r>
      <w:r w:rsidR="00BF281B" w:rsidRPr="00166834">
        <w:rPr>
          <w:rStyle w:val="informationalsmall"/>
          <w:szCs w:val="24"/>
        </w:rPr>
        <w:t xml:space="preserve"> </w:t>
      </w:r>
      <w:r w:rsidR="00F964A8" w:rsidRPr="00C86E87">
        <w:rPr>
          <w:rStyle w:val="informationalsmall"/>
          <w:szCs w:val="24"/>
        </w:rPr>
        <w:t xml:space="preserve">did not need to precede the creation of the work. </w:t>
      </w:r>
      <w:r w:rsidR="00F964A8" w:rsidRPr="00C86E87">
        <w:rPr>
          <w:rStyle w:val="informationalsmall"/>
          <w:i/>
          <w:szCs w:val="24"/>
        </w:rPr>
        <w:t>See</w:t>
      </w:r>
      <w:r w:rsidR="00F964A8" w:rsidRPr="00C86E87">
        <w:rPr>
          <w:rStyle w:val="informationalsmall"/>
          <w:szCs w:val="24"/>
        </w:rPr>
        <w:t xml:space="preserve"> </w:t>
      </w:r>
      <w:r w:rsidR="00F964A8" w:rsidRPr="00C86E87">
        <w:rPr>
          <w:rStyle w:val="groupheading"/>
          <w:i/>
          <w:szCs w:val="24"/>
        </w:rPr>
        <w:t>Playboy Enterprises, Inc. v. Dumas</w:t>
      </w:r>
      <w:r w:rsidR="00F964A8" w:rsidRPr="00C86E87">
        <w:rPr>
          <w:szCs w:val="24"/>
        </w:rPr>
        <w:t xml:space="preserve">, </w:t>
      </w:r>
      <w:r w:rsidR="00ED1F2C" w:rsidRPr="00C86E87">
        <w:rPr>
          <w:rStyle w:val="informationalsmall"/>
          <w:szCs w:val="24"/>
        </w:rPr>
        <w:t>53 F.3d 549</w:t>
      </w:r>
      <w:r w:rsidR="006A292B" w:rsidRPr="00C86E87">
        <w:rPr>
          <w:rStyle w:val="informationalsmall"/>
          <w:szCs w:val="24"/>
        </w:rPr>
        <w:t xml:space="preserve"> (2</w:t>
      </w:r>
      <w:r w:rsidR="00E82BA6" w:rsidRPr="00C86E87">
        <w:rPr>
          <w:rStyle w:val="informationalsmall"/>
          <w:szCs w:val="24"/>
        </w:rPr>
        <w:t>d</w:t>
      </w:r>
      <w:r w:rsidR="006A292B" w:rsidRPr="00C86E87">
        <w:rPr>
          <w:rStyle w:val="informationalsmall"/>
          <w:szCs w:val="24"/>
        </w:rPr>
        <w:t xml:space="preserve"> Cir. 1995)</w:t>
      </w:r>
      <w:r w:rsidR="00F964A8" w:rsidRPr="00C86E87">
        <w:rPr>
          <w:rStyle w:val="informationalsmall"/>
          <w:szCs w:val="24"/>
        </w:rPr>
        <w:t xml:space="preserve">. </w:t>
      </w:r>
    </w:p>
    <w:p w14:paraId="6015C33A" w14:textId="77777777" w:rsidR="00E82BA6" w:rsidRPr="00C86E87" w:rsidRDefault="00397F4D" w:rsidP="004B5680">
      <w:pPr>
        <w:widowControl/>
        <w:spacing w:line="480" w:lineRule="auto"/>
        <w:ind w:firstLine="720"/>
        <w:contextualSpacing/>
        <w:jc w:val="both"/>
        <w:rPr>
          <w:b/>
          <w:u w:val="single"/>
        </w:rPr>
      </w:pPr>
      <w:r w:rsidRPr="00C86E87">
        <w:rPr>
          <w:rStyle w:val="informationalsmall"/>
          <w:szCs w:val="24"/>
        </w:rPr>
        <w:t>This Court should follow the</w:t>
      </w:r>
      <w:r w:rsidR="00A63690" w:rsidRPr="00C86E87">
        <w:rPr>
          <w:rStyle w:val="informationalsmall"/>
          <w:szCs w:val="24"/>
        </w:rPr>
        <w:t xml:space="preserve"> Second Circuit</w:t>
      </w:r>
      <w:r w:rsidRPr="00C86E87">
        <w:rPr>
          <w:rStyle w:val="informationalsmall"/>
          <w:szCs w:val="24"/>
        </w:rPr>
        <w:t xml:space="preserve"> </w:t>
      </w:r>
      <w:r w:rsidR="00A63690" w:rsidRPr="00C86E87">
        <w:rPr>
          <w:rStyle w:val="informationalsmall"/>
          <w:szCs w:val="24"/>
        </w:rPr>
        <w:t xml:space="preserve">for three reasons. </w:t>
      </w:r>
      <w:r w:rsidR="007006B9" w:rsidRPr="00C86E87">
        <w:rPr>
          <w:rStyle w:val="informationalsmall"/>
          <w:szCs w:val="24"/>
        </w:rPr>
        <w:t xml:space="preserve">First, </w:t>
      </w:r>
      <w:r w:rsidR="00A63690" w:rsidRPr="00C86E87">
        <w:rPr>
          <w:rStyle w:val="informationalsmall"/>
          <w:szCs w:val="24"/>
        </w:rPr>
        <w:t>the D</w:t>
      </w:r>
      <w:r w:rsidR="007006B9" w:rsidRPr="00C86E87">
        <w:rPr>
          <w:rStyle w:val="informationalsmall"/>
          <w:szCs w:val="24"/>
        </w:rPr>
        <w:t xml:space="preserve">efendants’ interpretation of the Copyright Act is contrary to its plain meaning. Second, </w:t>
      </w:r>
      <w:r w:rsidR="00A63690" w:rsidRPr="00C86E87">
        <w:rPr>
          <w:szCs w:val="24"/>
        </w:rPr>
        <w:t>nothing in the legislative record suggests that Congress intended a timing requirement for the written instrument</w:t>
      </w:r>
      <w:r w:rsidR="003B7419" w:rsidRPr="00C86E87">
        <w:rPr>
          <w:szCs w:val="24"/>
        </w:rPr>
        <w:t>.</w:t>
      </w:r>
      <w:r w:rsidR="00A63690" w:rsidRPr="00C86E87">
        <w:rPr>
          <w:szCs w:val="24"/>
        </w:rPr>
        <w:t xml:space="preserve"> </w:t>
      </w:r>
      <w:r w:rsidR="00567062" w:rsidRPr="00C86E87">
        <w:rPr>
          <w:szCs w:val="24"/>
        </w:rPr>
        <w:t xml:space="preserve">Third, </w:t>
      </w:r>
      <w:r w:rsidRPr="00C86E87">
        <w:rPr>
          <w:szCs w:val="24"/>
        </w:rPr>
        <w:t xml:space="preserve">a more flexible </w:t>
      </w:r>
      <w:r w:rsidR="002577DF" w:rsidRPr="00C86E87">
        <w:rPr>
          <w:szCs w:val="24"/>
        </w:rPr>
        <w:t>rule</w:t>
      </w:r>
      <w:r w:rsidRPr="00C86E87">
        <w:rPr>
          <w:szCs w:val="24"/>
        </w:rPr>
        <w:t xml:space="preserve"> is better policy because it respects the intent of the parties. For these reasons, this Court should hold that </w:t>
      </w:r>
      <w:r w:rsidRPr="00C86E87">
        <w:t>a signed writing establishing a work made for hire agreement does not need to precede the creation of the work</w:t>
      </w:r>
      <w:r w:rsidR="00633097" w:rsidRPr="00C86E87">
        <w:t>.</w:t>
      </w:r>
    </w:p>
    <w:p w14:paraId="3DEF7A56" w14:textId="77777777" w:rsidR="004B5680" w:rsidRPr="00C86E87" w:rsidRDefault="004B5680" w:rsidP="004B5680">
      <w:pPr>
        <w:widowControl/>
        <w:spacing w:line="480" w:lineRule="auto"/>
        <w:ind w:firstLine="720"/>
        <w:contextualSpacing/>
        <w:jc w:val="both"/>
        <w:rPr>
          <w:rStyle w:val="informationalsmall"/>
          <w:b/>
          <w:color w:val="FF0000"/>
          <w:u w:val="single"/>
        </w:rPr>
      </w:pPr>
    </w:p>
    <w:p w14:paraId="27350F28" w14:textId="77777777" w:rsidR="00E82BA6" w:rsidRPr="00B176F4" w:rsidRDefault="00567062" w:rsidP="00B176F4">
      <w:pPr>
        <w:pStyle w:val="BodyText"/>
        <w:numPr>
          <w:ilvl w:val="0"/>
          <w:numId w:val="5"/>
        </w:numPr>
        <w:contextualSpacing/>
        <w:rPr>
          <w:b/>
        </w:rPr>
      </w:pPr>
      <w:r w:rsidRPr="00B176F4">
        <w:rPr>
          <w:b/>
        </w:rPr>
        <w:t>Defendants’</w:t>
      </w:r>
      <w:r w:rsidR="00E82BA6" w:rsidRPr="00B176F4">
        <w:rPr>
          <w:b/>
        </w:rPr>
        <w:t xml:space="preserve"> Inter</w:t>
      </w:r>
      <w:r w:rsidR="00B176F4">
        <w:rPr>
          <w:b/>
        </w:rPr>
        <w:t>pretation of the Copyright Act I</w:t>
      </w:r>
      <w:r w:rsidR="00E82BA6" w:rsidRPr="00B176F4">
        <w:rPr>
          <w:b/>
        </w:rPr>
        <w:t>s Contrary to Its Plain Meaning</w:t>
      </w:r>
    </w:p>
    <w:p w14:paraId="39934A2C" w14:textId="77777777" w:rsidR="00E82BA6" w:rsidRPr="00C86E87" w:rsidRDefault="00E82BA6" w:rsidP="00E82BA6">
      <w:pPr>
        <w:widowControl/>
        <w:spacing w:line="480" w:lineRule="auto"/>
        <w:contextualSpacing/>
        <w:jc w:val="both"/>
        <w:rPr>
          <w:rStyle w:val="informationalsmall"/>
          <w:snapToGrid/>
          <w:szCs w:val="24"/>
        </w:rPr>
      </w:pPr>
    </w:p>
    <w:p w14:paraId="62914F40" w14:textId="77777777" w:rsidR="00882FFC" w:rsidRPr="00C86E87" w:rsidRDefault="00EE374E" w:rsidP="00951AA7">
      <w:pPr>
        <w:spacing w:line="480" w:lineRule="auto"/>
        <w:contextualSpacing/>
        <w:jc w:val="both"/>
        <w:rPr>
          <w:szCs w:val="24"/>
        </w:rPr>
      </w:pPr>
      <w:r w:rsidRPr="00C86E87">
        <w:tab/>
      </w:r>
      <w:r w:rsidR="00A35342" w:rsidRPr="00C86E87">
        <w:t xml:space="preserve">Courts </w:t>
      </w:r>
      <w:r w:rsidR="00D80843" w:rsidRPr="00C86E87">
        <w:t>should</w:t>
      </w:r>
      <w:r w:rsidR="00174721" w:rsidRPr="00C86E87">
        <w:t xml:space="preserve"> </w:t>
      </w:r>
      <w:r w:rsidR="00C62932" w:rsidRPr="00C86E87">
        <w:t xml:space="preserve">first </w:t>
      </w:r>
      <w:r w:rsidR="00A35342" w:rsidRPr="00C86E87">
        <w:t xml:space="preserve">consider the plain meaning of a statute whenever one is </w:t>
      </w:r>
      <w:r w:rsidR="005B3FE1" w:rsidRPr="00C86E87">
        <w:t>readily discernible</w:t>
      </w:r>
      <w:r w:rsidR="00A35342" w:rsidRPr="00C86E87">
        <w:t xml:space="preserve">. </w:t>
      </w:r>
      <w:r w:rsidR="00A35342" w:rsidRPr="00C86E87">
        <w:rPr>
          <w:i/>
          <w:szCs w:val="24"/>
        </w:rPr>
        <w:t>See</w:t>
      </w:r>
      <w:r w:rsidR="00A35342" w:rsidRPr="00C86E87">
        <w:rPr>
          <w:szCs w:val="24"/>
        </w:rPr>
        <w:t xml:space="preserve"> </w:t>
      </w:r>
      <w:proofErr w:type="spellStart"/>
      <w:r w:rsidR="00633097" w:rsidRPr="00C86E87">
        <w:rPr>
          <w:i/>
          <w:szCs w:val="24"/>
        </w:rPr>
        <w:t>Carcieri</w:t>
      </w:r>
      <w:proofErr w:type="spellEnd"/>
      <w:r w:rsidR="00633097" w:rsidRPr="00C86E87">
        <w:rPr>
          <w:i/>
          <w:szCs w:val="24"/>
        </w:rPr>
        <w:t xml:space="preserve"> v Salazar</w:t>
      </w:r>
      <w:r w:rsidR="00633097" w:rsidRPr="00C86E87">
        <w:rPr>
          <w:szCs w:val="24"/>
        </w:rPr>
        <w:t>, 555 U.S. 379, 387 (2009)</w:t>
      </w:r>
      <w:r w:rsidR="00C62932" w:rsidRPr="00C86E87">
        <w:rPr>
          <w:szCs w:val="24"/>
        </w:rPr>
        <w:t>;</w:t>
      </w:r>
      <w:r w:rsidR="00633097" w:rsidRPr="00C86E87">
        <w:rPr>
          <w:szCs w:val="24"/>
        </w:rPr>
        <w:t xml:space="preserve"> </w:t>
      </w:r>
      <w:r w:rsidR="00C62932" w:rsidRPr="00C86E87">
        <w:rPr>
          <w:i/>
          <w:szCs w:val="24"/>
        </w:rPr>
        <w:t>s</w:t>
      </w:r>
      <w:r w:rsidR="00633097" w:rsidRPr="00C86E87">
        <w:rPr>
          <w:i/>
        </w:rPr>
        <w:t>ee also</w:t>
      </w:r>
      <w:r w:rsidR="00633097" w:rsidRPr="00C86E87">
        <w:rPr>
          <w:i/>
          <w:szCs w:val="24"/>
        </w:rPr>
        <w:t xml:space="preserve"> </w:t>
      </w:r>
      <w:proofErr w:type="spellStart"/>
      <w:r w:rsidR="00097645" w:rsidRPr="00C86E87">
        <w:rPr>
          <w:i/>
          <w:szCs w:val="24"/>
        </w:rPr>
        <w:t>Caminetti</w:t>
      </w:r>
      <w:proofErr w:type="spellEnd"/>
      <w:r w:rsidR="00097645" w:rsidRPr="00C86E87">
        <w:rPr>
          <w:i/>
          <w:szCs w:val="24"/>
        </w:rPr>
        <w:t xml:space="preserve"> v. U.S.</w:t>
      </w:r>
      <w:r w:rsidR="005F6900" w:rsidRPr="00C86E87">
        <w:rPr>
          <w:szCs w:val="24"/>
        </w:rPr>
        <w:t xml:space="preserve">, </w:t>
      </w:r>
      <w:r w:rsidR="00097645" w:rsidRPr="00C86E87">
        <w:rPr>
          <w:szCs w:val="24"/>
        </w:rPr>
        <w:t xml:space="preserve">37 </w:t>
      </w:r>
      <w:proofErr w:type="spellStart"/>
      <w:r w:rsidR="00097645" w:rsidRPr="00C86E87">
        <w:rPr>
          <w:szCs w:val="24"/>
        </w:rPr>
        <w:t>S.Ct</w:t>
      </w:r>
      <w:proofErr w:type="spellEnd"/>
      <w:r w:rsidR="00097645" w:rsidRPr="00C86E87">
        <w:rPr>
          <w:szCs w:val="24"/>
        </w:rPr>
        <w:t>. 192</w:t>
      </w:r>
      <w:r w:rsidR="006307D4" w:rsidRPr="00C86E87">
        <w:rPr>
          <w:szCs w:val="24"/>
        </w:rPr>
        <w:t>, 194</w:t>
      </w:r>
      <w:r w:rsidR="00097645" w:rsidRPr="00C86E87">
        <w:rPr>
          <w:szCs w:val="24"/>
        </w:rPr>
        <w:t xml:space="preserve"> </w:t>
      </w:r>
      <w:r w:rsidR="006307D4" w:rsidRPr="00C86E87">
        <w:rPr>
          <w:szCs w:val="24"/>
        </w:rPr>
        <w:t xml:space="preserve">(1917) </w:t>
      </w:r>
      <w:r w:rsidR="00A35342" w:rsidRPr="00C86E87">
        <w:rPr>
          <w:szCs w:val="24"/>
        </w:rPr>
        <w:t>(“</w:t>
      </w:r>
      <w:r w:rsidR="00097645" w:rsidRPr="00C86E87">
        <w:t>Where the language is plain and admits of no more than one meaning, the duty of interpretation does not arise, and the rules which are to aid doubtful meanings need no discussion.</w:t>
      </w:r>
      <w:r w:rsidR="00A35342" w:rsidRPr="00C86E87">
        <w:rPr>
          <w:szCs w:val="24"/>
        </w:rPr>
        <w:t>”)</w:t>
      </w:r>
      <w:r w:rsidR="006307D4" w:rsidRPr="00C86E87">
        <w:rPr>
          <w:szCs w:val="24"/>
        </w:rPr>
        <w:t>.</w:t>
      </w:r>
      <w:r w:rsidR="00174721" w:rsidRPr="00C86E87">
        <w:rPr>
          <w:szCs w:val="24"/>
        </w:rPr>
        <w:t xml:space="preserve"> </w:t>
      </w:r>
      <w:r w:rsidR="00D80843" w:rsidRPr="00C86E87">
        <w:rPr>
          <w:szCs w:val="24"/>
        </w:rPr>
        <w:t>Using plain me</w:t>
      </w:r>
      <w:r w:rsidR="008E07A1" w:rsidRPr="00C86E87">
        <w:rPr>
          <w:szCs w:val="24"/>
        </w:rPr>
        <w:t xml:space="preserve">aning to interpret a statute is </w:t>
      </w:r>
      <w:proofErr w:type="gramStart"/>
      <w:r w:rsidR="00D80843" w:rsidRPr="00C86E87">
        <w:rPr>
          <w:szCs w:val="24"/>
        </w:rPr>
        <w:t>well-established</w:t>
      </w:r>
      <w:proofErr w:type="gramEnd"/>
      <w:r w:rsidR="00D80843" w:rsidRPr="00C86E87">
        <w:rPr>
          <w:szCs w:val="24"/>
        </w:rPr>
        <w:t xml:space="preserve"> at all levels of the </w:t>
      </w:r>
      <w:r w:rsidR="007F49B2" w:rsidRPr="00C86E87">
        <w:rPr>
          <w:szCs w:val="24"/>
        </w:rPr>
        <w:t>j</w:t>
      </w:r>
      <w:r w:rsidR="00D80843" w:rsidRPr="00C86E87">
        <w:rPr>
          <w:szCs w:val="24"/>
        </w:rPr>
        <w:t xml:space="preserve">udiciary. </w:t>
      </w:r>
      <w:r w:rsidR="00D80843" w:rsidRPr="00C86E87">
        <w:rPr>
          <w:i/>
          <w:szCs w:val="24"/>
        </w:rPr>
        <w:t>See</w:t>
      </w:r>
      <w:r w:rsidR="006307D4" w:rsidRPr="00C86E87">
        <w:rPr>
          <w:i/>
          <w:szCs w:val="24"/>
        </w:rPr>
        <w:t xml:space="preserve">, e.g., </w:t>
      </w:r>
      <w:r w:rsidR="00D80843" w:rsidRPr="00C86E87">
        <w:rPr>
          <w:i/>
          <w:szCs w:val="24"/>
        </w:rPr>
        <w:t>United States v. Hartwell</w:t>
      </w:r>
      <w:r w:rsidR="00D80843" w:rsidRPr="00C86E87">
        <w:rPr>
          <w:szCs w:val="24"/>
        </w:rPr>
        <w:t>, 73 U.S.</w:t>
      </w:r>
      <w:r w:rsidR="004C423B" w:rsidRPr="00C86E87">
        <w:rPr>
          <w:szCs w:val="24"/>
        </w:rPr>
        <w:t xml:space="preserve"> 385, 396</w:t>
      </w:r>
      <w:r w:rsidR="00D80843" w:rsidRPr="00C86E87">
        <w:rPr>
          <w:szCs w:val="24"/>
        </w:rPr>
        <w:t xml:space="preserve"> (1868) (“If the language be clear it is conclusive. There can be no construction where there is nothing to construe.”)</w:t>
      </w:r>
    </w:p>
    <w:p w14:paraId="7B9A3F36" w14:textId="77777777" w:rsidR="00EE374E" w:rsidRPr="00C86E87" w:rsidRDefault="007F49B2" w:rsidP="00951AA7">
      <w:pPr>
        <w:spacing w:line="480" w:lineRule="auto"/>
        <w:ind w:firstLine="720"/>
        <w:contextualSpacing/>
        <w:jc w:val="both"/>
        <w:rPr>
          <w:snapToGrid/>
          <w:szCs w:val="24"/>
        </w:rPr>
      </w:pPr>
      <w:r w:rsidRPr="00C86E87">
        <w:t xml:space="preserve">The section of the Copyright Act at issue in this case is exceedingly simple in terms of its plain meaning. </w:t>
      </w:r>
      <w:r w:rsidR="00BD7E12" w:rsidRPr="00166834">
        <w:t>It does no</w:t>
      </w:r>
      <w:r w:rsidR="00BF281B" w:rsidRPr="00166834">
        <w:t>t contain any words</w:t>
      </w:r>
      <w:r w:rsidRPr="00C86E87">
        <w:t xml:space="preserve"> that are inherently ambiguous, nor any words that </w:t>
      </w:r>
      <w:r w:rsidRPr="00C86E87">
        <w:lastRenderedPageBreak/>
        <w:t>are ambiguous in context</w:t>
      </w:r>
      <w:r w:rsidR="00166834">
        <w:t>.</w:t>
      </w:r>
      <w:r w:rsidR="00E57532" w:rsidRPr="00C86E87">
        <w:t xml:space="preserve"> </w:t>
      </w:r>
      <w:r w:rsidR="00166834">
        <w:t>T</w:t>
      </w:r>
      <w:r w:rsidR="00E57532" w:rsidRPr="00C86E87">
        <w:t>he court should resist the urge to construe ambiguity in such a simple phrase</w:t>
      </w:r>
      <w:r w:rsidRPr="00C86E87">
        <w:t xml:space="preserve">. </w:t>
      </w:r>
      <w:r w:rsidR="00A35342" w:rsidRPr="00C86E87">
        <w:t>The</w:t>
      </w:r>
      <w:r w:rsidR="008E07A1" w:rsidRPr="00C86E87">
        <w:t xml:space="preserve"> statute simply states that the</w:t>
      </w:r>
      <w:r w:rsidR="00A35342" w:rsidRPr="00C86E87">
        <w:t xml:space="preserve"> parties must “</w:t>
      </w:r>
      <w:r w:rsidR="00A35342" w:rsidRPr="00C86E87">
        <w:rPr>
          <w:snapToGrid/>
          <w:szCs w:val="24"/>
        </w:rPr>
        <w:t>expressly agree in a written instrument signed by them</w:t>
      </w:r>
      <w:r w:rsidR="00E57532" w:rsidRPr="00C86E87">
        <w:rPr>
          <w:snapToGrid/>
          <w:szCs w:val="24"/>
        </w:rPr>
        <w:t xml:space="preserve"> that the work shall be considered a work made for hire</w:t>
      </w:r>
      <w:r w:rsidR="00A35342" w:rsidRPr="00C86E87">
        <w:rPr>
          <w:snapToGrid/>
          <w:szCs w:val="24"/>
        </w:rPr>
        <w:t>.”</w:t>
      </w:r>
      <w:r w:rsidR="00A35342" w:rsidRPr="00C86E87">
        <w:rPr>
          <w:i/>
          <w:snapToGrid/>
          <w:szCs w:val="24"/>
        </w:rPr>
        <w:t xml:space="preserve"> </w:t>
      </w:r>
      <w:proofErr w:type="gramStart"/>
      <w:r w:rsidR="00301AE4" w:rsidRPr="00C86E87">
        <w:rPr>
          <w:bCs/>
          <w:szCs w:val="24"/>
        </w:rPr>
        <w:t>17 U.S.C. § 101(2)</w:t>
      </w:r>
      <w:r w:rsidR="00A35342" w:rsidRPr="00C86E87">
        <w:rPr>
          <w:snapToGrid/>
          <w:szCs w:val="24"/>
        </w:rPr>
        <w:t>.</w:t>
      </w:r>
      <w:proofErr w:type="gramEnd"/>
      <w:r w:rsidR="00A35342" w:rsidRPr="00C86E87">
        <w:rPr>
          <w:snapToGrid/>
          <w:szCs w:val="24"/>
        </w:rPr>
        <w:t xml:space="preserve"> </w:t>
      </w:r>
      <w:r w:rsidRPr="00C86E87">
        <w:rPr>
          <w:snapToGrid/>
          <w:szCs w:val="24"/>
        </w:rPr>
        <w:t>To borrow the Supreme Court’s language</w:t>
      </w:r>
      <w:r w:rsidR="00E80502" w:rsidRPr="00C86E87">
        <w:rPr>
          <w:snapToGrid/>
          <w:szCs w:val="24"/>
        </w:rPr>
        <w:t xml:space="preserve">, </w:t>
      </w:r>
      <w:r w:rsidRPr="00C86E87">
        <w:rPr>
          <w:snapToGrid/>
          <w:szCs w:val="24"/>
        </w:rPr>
        <w:t>there can be no construction as to the timing of the writing, because there is nothing</w:t>
      </w:r>
      <w:r w:rsidR="000D4BB7" w:rsidRPr="00C86E87">
        <w:rPr>
          <w:snapToGrid/>
          <w:szCs w:val="24"/>
        </w:rPr>
        <w:t xml:space="preserve"> there</w:t>
      </w:r>
      <w:r w:rsidRPr="00C86E87">
        <w:rPr>
          <w:snapToGrid/>
          <w:szCs w:val="24"/>
        </w:rPr>
        <w:t xml:space="preserve"> to construe. </w:t>
      </w:r>
      <w:r w:rsidR="00E80502" w:rsidRPr="00C86E87">
        <w:rPr>
          <w:i/>
          <w:snapToGrid/>
          <w:szCs w:val="24"/>
        </w:rPr>
        <w:t xml:space="preserve">See </w:t>
      </w:r>
      <w:r w:rsidR="00E80502" w:rsidRPr="00C86E87">
        <w:rPr>
          <w:i/>
          <w:szCs w:val="24"/>
        </w:rPr>
        <w:t>Hartwell</w:t>
      </w:r>
      <w:r w:rsidR="00E80502" w:rsidRPr="00C86E87">
        <w:rPr>
          <w:szCs w:val="24"/>
        </w:rPr>
        <w:t>, 73 U.S.</w:t>
      </w:r>
      <w:r w:rsidR="004C423B" w:rsidRPr="00C86E87">
        <w:rPr>
          <w:szCs w:val="24"/>
        </w:rPr>
        <w:t xml:space="preserve"> at</w:t>
      </w:r>
      <w:r w:rsidR="00E80502" w:rsidRPr="00C86E87">
        <w:rPr>
          <w:szCs w:val="24"/>
        </w:rPr>
        <w:t xml:space="preserve"> 396. </w:t>
      </w:r>
      <w:r w:rsidRPr="00C86E87">
        <w:rPr>
          <w:snapToGrid/>
          <w:szCs w:val="24"/>
        </w:rPr>
        <w:t>The statute merely states that there must be a signed writing. There is, in fact, a signed writing</w:t>
      </w:r>
      <w:r w:rsidR="00E57532" w:rsidRPr="00C86E87">
        <w:rPr>
          <w:snapToGrid/>
          <w:szCs w:val="24"/>
        </w:rPr>
        <w:t xml:space="preserve"> in which the parties express their agreement as to the legal status of the work</w:t>
      </w:r>
      <w:r w:rsidRPr="00C86E87">
        <w:rPr>
          <w:snapToGrid/>
          <w:szCs w:val="24"/>
        </w:rPr>
        <w:t>. This fact should end the inquiry.</w:t>
      </w:r>
    </w:p>
    <w:p w14:paraId="6777E936" w14:textId="77777777" w:rsidR="00A64198" w:rsidRPr="00C86E87" w:rsidRDefault="00A64198" w:rsidP="00951AA7">
      <w:pPr>
        <w:spacing w:line="360" w:lineRule="auto"/>
        <w:ind w:firstLine="720"/>
        <w:contextualSpacing/>
        <w:jc w:val="both"/>
        <w:rPr>
          <w:szCs w:val="24"/>
        </w:rPr>
      </w:pPr>
    </w:p>
    <w:p w14:paraId="7E3A9A59" w14:textId="77777777" w:rsidR="00BD572A" w:rsidRPr="00B176F4" w:rsidRDefault="00BD572A" w:rsidP="00B176F4">
      <w:pPr>
        <w:pStyle w:val="ListParagraph"/>
        <w:numPr>
          <w:ilvl w:val="0"/>
          <w:numId w:val="5"/>
        </w:numPr>
        <w:jc w:val="both"/>
        <w:rPr>
          <w:b/>
          <w:szCs w:val="24"/>
        </w:rPr>
      </w:pPr>
      <w:r w:rsidRPr="00B176F4">
        <w:rPr>
          <w:b/>
          <w:szCs w:val="24"/>
        </w:rPr>
        <w:t>Nothing in the Legislative Record Suggest</w:t>
      </w:r>
      <w:r w:rsidR="00A63690" w:rsidRPr="00B176F4">
        <w:rPr>
          <w:b/>
          <w:szCs w:val="24"/>
        </w:rPr>
        <w:t>s</w:t>
      </w:r>
      <w:r w:rsidR="00B176F4">
        <w:rPr>
          <w:b/>
          <w:szCs w:val="24"/>
        </w:rPr>
        <w:t xml:space="preserve"> T</w:t>
      </w:r>
      <w:r w:rsidRPr="00B176F4">
        <w:rPr>
          <w:b/>
          <w:szCs w:val="24"/>
        </w:rPr>
        <w:t xml:space="preserve">hat Congress Intended </w:t>
      </w:r>
      <w:r w:rsidR="008C2DB8" w:rsidRPr="00B176F4">
        <w:rPr>
          <w:b/>
          <w:szCs w:val="24"/>
        </w:rPr>
        <w:t>a Timing Requirement for the Written Instrument</w:t>
      </w:r>
    </w:p>
    <w:p w14:paraId="29405174" w14:textId="77777777" w:rsidR="007F49B2" w:rsidRPr="00C86E87" w:rsidRDefault="007F49B2" w:rsidP="00951AA7">
      <w:pPr>
        <w:spacing w:line="480" w:lineRule="auto"/>
        <w:ind w:firstLine="720"/>
        <w:contextualSpacing/>
        <w:jc w:val="both"/>
      </w:pPr>
    </w:p>
    <w:p w14:paraId="23819234" w14:textId="77777777" w:rsidR="00ED7E93" w:rsidRPr="00C86E87" w:rsidRDefault="00A43CC9" w:rsidP="00ED7E93">
      <w:pPr>
        <w:spacing w:line="480" w:lineRule="auto"/>
        <w:ind w:firstLine="720"/>
        <w:contextualSpacing/>
        <w:jc w:val="both"/>
      </w:pPr>
      <w:r w:rsidRPr="00C86E87">
        <w:t>The l</w:t>
      </w:r>
      <w:r w:rsidR="00C47B1C" w:rsidRPr="00C86E87">
        <w:t>egislative history</w:t>
      </w:r>
      <w:r w:rsidRPr="00C86E87">
        <w:t xml:space="preserve"> of the Copyright Act of 1976</w:t>
      </w:r>
      <w:r w:rsidR="00C47B1C" w:rsidRPr="00C86E87">
        <w:t xml:space="preserve"> offers little by way of guidance as to how to interpret the writing requirement for works made for hire. What little commentary there is on the issue </w:t>
      </w:r>
      <w:r w:rsidR="000C190B" w:rsidRPr="00C86E87">
        <w:t>suggests</w:t>
      </w:r>
      <w:r w:rsidR="00C47B1C" w:rsidRPr="00C86E87">
        <w:t xml:space="preserve"> that Congress did not intend to require that the signed writing be prepared prior to the completion of the work.</w:t>
      </w:r>
    </w:p>
    <w:p w14:paraId="3CD29E2C" w14:textId="77777777" w:rsidR="00441D08" w:rsidRPr="00C86E87" w:rsidRDefault="002121F5" w:rsidP="00254CBA">
      <w:pPr>
        <w:spacing w:line="480" w:lineRule="auto"/>
        <w:ind w:firstLine="720"/>
        <w:contextualSpacing/>
        <w:jc w:val="both"/>
      </w:pPr>
      <w:r w:rsidRPr="00C86E87">
        <w:t xml:space="preserve">The House Report attached to the </w:t>
      </w:r>
      <w:r w:rsidR="006D1277" w:rsidRPr="00C86E87">
        <w:t xml:space="preserve">Copyright </w:t>
      </w:r>
      <w:r w:rsidRPr="00C86E87">
        <w:t xml:space="preserve">Act </w:t>
      </w:r>
      <w:r w:rsidR="006D1277" w:rsidRPr="00C86E87">
        <w:t xml:space="preserve">of 1976 </w:t>
      </w:r>
      <w:r w:rsidR="00E80502" w:rsidRPr="00C86E87">
        <w:t>states that “t</w:t>
      </w:r>
      <w:r w:rsidR="00441D08" w:rsidRPr="00C86E87">
        <w:t xml:space="preserve">he work-made-for-hire provisions of this bill represent a carefully balanced compromise, and as such they do not incorporate the </w:t>
      </w:r>
      <w:bookmarkStart w:id="0" w:name="sp_3191_5737"/>
      <w:bookmarkStart w:id="1" w:name="SDU_5737"/>
      <w:bookmarkStart w:id="2" w:name="citeas((Cite_as:_H.R._REP._94-1476,_*121"/>
      <w:bookmarkEnd w:id="0"/>
      <w:bookmarkEnd w:id="1"/>
      <w:bookmarkEnd w:id="2"/>
      <w:r w:rsidR="00441D08" w:rsidRPr="00C86E87">
        <w:t>amendments proposed by screenwriters and composers for motion pictures</w:t>
      </w:r>
      <w:r w:rsidR="00E80502" w:rsidRPr="00C86E87">
        <w:t xml:space="preserve">.” H.R. Rep. 94-1476 at 121. The proposed amendments would have </w:t>
      </w:r>
      <w:r w:rsidR="00254CBA" w:rsidRPr="00C86E87">
        <w:t>recognized</w:t>
      </w:r>
      <w:r w:rsidR="00E80502" w:rsidRPr="00C86E87">
        <w:t xml:space="preserve"> something similar to the shop right doctrine of patent law, </w:t>
      </w:r>
      <w:r w:rsidR="00254CBA" w:rsidRPr="00C86E87">
        <w:t xml:space="preserve">allowing the employee to retain many rights to his or her work. </w:t>
      </w:r>
      <w:r w:rsidR="00254CBA" w:rsidRPr="00C86E87">
        <w:rPr>
          <w:i/>
        </w:rPr>
        <w:t xml:space="preserve">Id. </w:t>
      </w:r>
      <w:r w:rsidR="00254CBA" w:rsidRPr="00C86E87">
        <w:t xml:space="preserve">Congress decided not to adopt these amendments because the benefits </w:t>
      </w:r>
      <w:r w:rsidR="00482866" w:rsidRPr="00C86E87">
        <w:t>of doing so</w:t>
      </w:r>
      <w:r w:rsidR="00254CBA" w:rsidRPr="00C86E87">
        <w:t xml:space="preserve"> were deemed “highly conjectural.” </w:t>
      </w:r>
      <w:r w:rsidR="00254CBA" w:rsidRPr="00C86E87">
        <w:rPr>
          <w:i/>
        </w:rPr>
        <w:t xml:space="preserve">Id. </w:t>
      </w:r>
      <w:r w:rsidR="00254CBA" w:rsidRPr="00C86E87">
        <w:t>The House Report concludes that “t</w:t>
      </w:r>
      <w:r w:rsidR="00441D08" w:rsidRPr="00C86E87">
        <w:t xml:space="preserve">he presumption that initial ownership rights vest in the employer for hire is well established in American copyright law, and to exchange that for the uncertainties of the shop right doctrine would not only be of dubious </w:t>
      </w:r>
      <w:r w:rsidR="00441D08" w:rsidRPr="00C86E87">
        <w:lastRenderedPageBreak/>
        <w:t>value to employers and employees alike, but might also reopen a</w:t>
      </w:r>
      <w:r w:rsidR="00441D08" w:rsidRPr="00C86E87">
        <w:rPr>
          <w:i/>
        </w:rPr>
        <w:t xml:space="preserve"> </w:t>
      </w:r>
      <w:r w:rsidR="00441D08" w:rsidRPr="00C86E87">
        <w:t>number of other issues.</w:t>
      </w:r>
      <w:r w:rsidR="00254CBA" w:rsidRPr="00C86E87">
        <w:t xml:space="preserve">” </w:t>
      </w:r>
      <w:r w:rsidR="00254CBA" w:rsidRPr="00C86E87">
        <w:rPr>
          <w:i/>
        </w:rPr>
        <w:t xml:space="preserve">Id. </w:t>
      </w:r>
      <w:r w:rsidR="00E42190" w:rsidRPr="00C86E87">
        <w:t>Congress</w:t>
      </w:r>
      <w:r w:rsidR="00254CBA" w:rsidRPr="00C86E87">
        <w:t xml:space="preserve"> evidently</w:t>
      </w:r>
      <w:r w:rsidR="00E42190" w:rsidRPr="00C86E87">
        <w:t xml:space="preserve"> sought to avoid incorporating any vestige of the shop right doctrine: that is,</w:t>
      </w:r>
      <w:r w:rsidR="00906F48" w:rsidRPr="00C86E87">
        <w:t xml:space="preserve"> Congress </w:t>
      </w:r>
      <w:r w:rsidR="00254CBA" w:rsidRPr="00C86E87">
        <w:t>s</w:t>
      </w:r>
      <w:r w:rsidR="00906F48" w:rsidRPr="00C86E87">
        <w:t xml:space="preserve">ought to make sure that all rights to a work made for hire would vest in the employer-for-hire. As such, the </w:t>
      </w:r>
      <w:proofErr w:type="gramStart"/>
      <w:r w:rsidR="00906F48" w:rsidRPr="00C86E87">
        <w:t>situation giving</w:t>
      </w:r>
      <w:proofErr w:type="gramEnd"/>
      <w:r w:rsidR="00906F48" w:rsidRPr="00C86E87">
        <w:t xml:space="preserve"> rise to the dispute at hand is exactly </w:t>
      </w:r>
      <w:r w:rsidR="00E52490" w:rsidRPr="00C86E87">
        <w:t>the type of situation that the A</w:t>
      </w:r>
      <w:r w:rsidR="00906F48" w:rsidRPr="00C86E87">
        <w:t>ct sought to avoid. Congress did not want screenwriters</w:t>
      </w:r>
      <w:r w:rsidR="00E52490" w:rsidRPr="00C86E87">
        <w:t>, like Ms. Lime,</w:t>
      </w:r>
      <w:r w:rsidR="00906F48" w:rsidRPr="00C86E87">
        <w:t xml:space="preserve"> to </w:t>
      </w:r>
      <w:r w:rsidR="00E52490" w:rsidRPr="00C86E87">
        <w:t>retain any rights to</w:t>
      </w:r>
      <w:r w:rsidR="00906F48" w:rsidRPr="00C86E87">
        <w:t xml:space="preserve"> their works if they were</w:t>
      </w:r>
      <w:r w:rsidR="006435C0" w:rsidRPr="00C86E87">
        <w:t xml:space="preserve"> in fact</w:t>
      </w:r>
      <w:r w:rsidR="00906F48" w:rsidRPr="00C86E87">
        <w:t xml:space="preserve"> hired to produce </w:t>
      </w:r>
      <w:r w:rsidR="00E52490" w:rsidRPr="00C86E87">
        <w:t>those works</w:t>
      </w:r>
      <w:r w:rsidR="00906F48" w:rsidRPr="00C86E87">
        <w:t xml:space="preserve"> by </w:t>
      </w:r>
      <w:r w:rsidR="006435C0" w:rsidRPr="00C86E87">
        <w:t xml:space="preserve">another person or organization. </w:t>
      </w:r>
      <w:r w:rsidR="00F46601" w:rsidRPr="00C86E87">
        <w:t>Therefore</w:t>
      </w:r>
      <w:r w:rsidR="00E52490" w:rsidRPr="00C86E87">
        <w:t xml:space="preserve">, </w:t>
      </w:r>
      <w:r w:rsidRPr="00C86E87">
        <w:t>the Court should not read a</w:t>
      </w:r>
      <w:r w:rsidR="00E52490" w:rsidRPr="00C86E87">
        <w:t xml:space="preserve"> requirement that the signed instrument precede the creation of the work into the provisions of the Act.</w:t>
      </w:r>
      <w:r w:rsidR="006435C0" w:rsidRPr="00C86E87">
        <w:t xml:space="preserve"> </w:t>
      </w:r>
    </w:p>
    <w:p w14:paraId="770ACA2F" w14:textId="77777777" w:rsidR="002121F5" w:rsidRPr="00C86E87" w:rsidRDefault="00E52490" w:rsidP="002121F5">
      <w:pPr>
        <w:spacing w:line="480" w:lineRule="auto"/>
        <w:ind w:firstLine="720"/>
        <w:contextualSpacing/>
        <w:jc w:val="both"/>
      </w:pPr>
      <w:r w:rsidRPr="00C86E87">
        <w:t xml:space="preserve">The definition of work made for hire was amended in 2000 to include audio recordings. See H.R. Rep. 106-861. The 2000 amendment was, in short, a response to ambiguity created by another act passed in 1999. </w:t>
      </w:r>
      <w:r w:rsidR="00BC22F6" w:rsidRPr="00C86E87">
        <w:t>Stated in</w:t>
      </w:r>
      <w:r w:rsidRPr="00C86E87">
        <w:t xml:space="preserve"> the House Re</w:t>
      </w:r>
      <w:r w:rsidR="00F6454E" w:rsidRPr="00C86E87">
        <w:t xml:space="preserve">port attached to the 2000 bill </w:t>
      </w:r>
      <w:r w:rsidR="00BC22F6" w:rsidRPr="00C86E87">
        <w:t xml:space="preserve">is the following: “The purpose of this bill is to restore the status quo as it existed prior to November 29, 1999, </w:t>
      </w:r>
      <w:r w:rsidR="00BC22F6" w:rsidRPr="00C86E87">
        <w:rPr>
          <w:i/>
        </w:rPr>
        <w:t>without expressing or implying any view as to the proper interpretation of the ‘work made for hire’ definition</w:t>
      </w:r>
      <w:r w:rsidR="00BC22F6" w:rsidRPr="00C86E87">
        <w:t xml:space="preserve">.” </w:t>
      </w:r>
      <w:proofErr w:type="gramStart"/>
      <w:r w:rsidR="00F6454E" w:rsidRPr="00C86E87">
        <w:rPr>
          <w:i/>
        </w:rPr>
        <w:t>Id</w:t>
      </w:r>
      <w:r w:rsidR="000654F2" w:rsidRPr="00C86E87">
        <w:rPr>
          <w:i/>
        </w:rPr>
        <w:t>.</w:t>
      </w:r>
      <w:r w:rsidR="00F6454E" w:rsidRPr="00C86E87">
        <w:t xml:space="preserve"> at 2</w:t>
      </w:r>
      <w:r w:rsidR="00BC22F6" w:rsidRPr="00C86E87">
        <w:t xml:space="preserve"> </w:t>
      </w:r>
      <w:r w:rsidR="009102D9" w:rsidRPr="00C86E87">
        <w:t>(</w:t>
      </w:r>
      <w:r w:rsidR="00BC22F6" w:rsidRPr="00C86E87">
        <w:t>emphasis added</w:t>
      </w:r>
      <w:r w:rsidR="009102D9" w:rsidRPr="00C86E87">
        <w:t>)</w:t>
      </w:r>
      <w:r w:rsidR="00BC22F6" w:rsidRPr="00C86E87">
        <w:t>.</w:t>
      </w:r>
      <w:proofErr w:type="gramEnd"/>
      <w:r w:rsidR="00BC22F6" w:rsidRPr="00C86E87">
        <w:t xml:space="preserve"> </w:t>
      </w:r>
      <w:r w:rsidR="00E43AE3" w:rsidRPr="00C86E87">
        <w:t>Interestingly,</w:t>
      </w:r>
      <w:r w:rsidR="00BC22F6" w:rsidRPr="00C86E87">
        <w:t xml:space="preserve"> </w:t>
      </w:r>
      <w:r w:rsidR="00F46601" w:rsidRPr="00C86E87">
        <w:t xml:space="preserve">Congress passed </w:t>
      </w:r>
      <w:r w:rsidR="00BC22F6" w:rsidRPr="00C86E87">
        <w:t xml:space="preserve">this amendment after the circuit split between the </w:t>
      </w:r>
      <w:r w:rsidR="000D2892" w:rsidRPr="00C86E87">
        <w:t>Seventh</w:t>
      </w:r>
      <w:r w:rsidR="00BC22F6" w:rsidRPr="00C86E87">
        <w:t xml:space="preserve"> and Second Circuits as to when the written instrument needed to be signed. </w:t>
      </w:r>
      <w:r w:rsidR="00BC22F6" w:rsidRPr="00C86E87">
        <w:rPr>
          <w:i/>
        </w:rPr>
        <w:t xml:space="preserve">Schiller, </w:t>
      </w:r>
      <w:r w:rsidR="00F6454E" w:rsidRPr="00C86E87">
        <w:rPr>
          <w:rStyle w:val="informationalsmall"/>
          <w:szCs w:val="24"/>
        </w:rPr>
        <w:t>969 F.2d 412</w:t>
      </w:r>
      <w:r w:rsidR="00BC22F6" w:rsidRPr="00C86E87">
        <w:rPr>
          <w:i/>
        </w:rPr>
        <w:t>,</w:t>
      </w:r>
      <w:r w:rsidR="00BC22F6" w:rsidRPr="00C86E87">
        <w:t xml:space="preserve"> was decided in 1992, and </w:t>
      </w:r>
      <w:r w:rsidR="00BC22F6" w:rsidRPr="00C86E87">
        <w:rPr>
          <w:i/>
        </w:rPr>
        <w:t xml:space="preserve">Playboy, </w:t>
      </w:r>
      <w:r w:rsidR="00F6454E" w:rsidRPr="00C86E87">
        <w:rPr>
          <w:rStyle w:val="informationalsmall"/>
          <w:szCs w:val="24"/>
        </w:rPr>
        <w:t xml:space="preserve">53 F.3d </w:t>
      </w:r>
      <w:r w:rsidR="00ED1F2C" w:rsidRPr="00C86E87">
        <w:rPr>
          <w:rStyle w:val="informationalsmall"/>
          <w:szCs w:val="24"/>
        </w:rPr>
        <w:t>549</w:t>
      </w:r>
      <w:r w:rsidR="00BC22F6" w:rsidRPr="00C86E87">
        <w:t xml:space="preserve">, in 1995. Five years later, Congress </w:t>
      </w:r>
      <w:r w:rsidR="009102D9" w:rsidRPr="00C86E87">
        <w:t>passed an amendment that</w:t>
      </w:r>
      <w:r w:rsidR="00BC22F6" w:rsidRPr="00C86E87">
        <w:t xml:space="preserve"> did nothing to change the definition or interpretation of a work made for hire, as evidenced by the excerpt of the House Report above. Congress was either unaware of the </w:t>
      </w:r>
      <w:r w:rsidR="000C190B" w:rsidRPr="00C86E87">
        <w:t>circuit split</w:t>
      </w:r>
      <w:r w:rsidR="008C2DB8" w:rsidRPr="00C86E87">
        <w:t xml:space="preserve"> (meaning that it was not important enough to capture Congress’s attention)</w:t>
      </w:r>
      <w:r w:rsidR="00BC22F6" w:rsidRPr="00C86E87">
        <w:t xml:space="preserve">, or </w:t>
      </w:r>
      <w:r w:rsidR="008C2DB8" w:rsidRPr="00C86E87">
        <w:t>Congress</w:t>
      </w:r>
      <w:r w:rsidR="00BC22F6" w:rsidRPr="00C86E87">
        <w:t xml:space="preserve"> decided to leave it alone. Either scenario is evidence </w:t>
      </w:r>
      <w:r w:rsidR="00DD44CB" w:rsidRPr="00C86E87">
        <w:t xml:space="preserve">that Congress felt the language in the statute was sufficiently clear. </w:t>
      </w:r>
      <w:r w:rsidR="008C2DB8" w:rsidRPr="00C86E87">
        <w:t xml:space="preserve">Congress’s </w:t>
      </w:r>
      <w:r w:rsidR="00DD44CB" w:rsidRPr="00C86E87">
        <w:t>silence on this</w:t>
      </w:r>
      <w:r w:rsidR="008C2DB8" w:rsidRPr="00C86E87">
        <w:t xml:space="preserve"> issue should be respected, and, thus, the plain meaning must prevail.</w:t>
      </w:r>
    </w:p>
    <w:p w14:paraId="73FB62DC" w14:textId="77777777" w:rsidR="00A2334D" w:rsidRPr="00C86E87" w:rsidRDefault="00A2334D" w:rsidP="00A2334D">
      <w:pPr>
        <w:spacing w:line="480" w:lineRule="auto"/>
        <w:ind w:firstLine="720"/>
        <w:contextualSpacing/>
        <w:jc w:val="both"/>
        <w:rPr>
          <w:szCs w:val="24"/>
        </w:rPr>
      </w:pPr>
      <w:r w:rsidRPr="00C86E87">
        <w:rPr>
          <w:snapToGrid/>
          <w:szCs w:val="24"/>
        </w:rPr>
        <w:t xml:space="preserve">Defendants urge this Court to insert a temporal element into the statute. The problem </w:t>
      </w:r>
      <w:r w:rsidRPr="00C86E87">
        <w:rPr>
          <w:snapToGrid/>
          <w:szCs w:val="24"/>
        </w:rPr>
        <w:lastRenderedPageBreak/>
        <w:t xml:space="preserve">with doing so is self-evident. If the Court assumes that </w:t>
      </w:r>
      <w:r w:rsidRPr="00C86E87">
        <w:rPr>
          <w:szCs w:val="24"/>
        </w:rPr>
        <w:t>Congress intended what it plainly expressed, it follows that it did not intend what it did not express</w:t>
      </w:r>
      <w:r w:rsidRPr="00C86E87">
        <w:rPr>
          <w:snapToGrid/>
          <w:szCs w:val="24"/>
        </w:rPr>
        <w:t>. Thus, s</w:t>
      </w:r>
      <w:r w:rsidRPr="00C86E87">
        <w:rPr>
          <w:szCs w:val="24"/>
        </w:rPr>
        <w:t>ince Congress was silent as to timing of a signed writing in the definition of a work made for hire, it follows that Congress did not intend for timing to be a feature of the definition. Construing the legislation otherwise would amount to legislating from the bench, and the Court should resist Defendants’ request to do so.</w:t>
      </w:r>
    </w:p>
    <w:p w14:paraId="0E0C8072" w14:textId="77777777" w:rsidR="00933E1D" w:rsidRPr="00C86E87" w:rsidRDefault="002121F5" w:rsidP="003E77DD">
      <w:pPr>
        <w:spacing w:line="480" w:lineRule="auto"/>
        <w:ind w:firstLine="720"/>
        <w:contextualSpacing/>
        <w:jc w:val="both"/>
        <w:rPr>
          <w:rStyle w:val="informationalsmall"/>
          <w:szCs w:val="24"/>
        </w:rPr>
      </w:pPr>
      <w:r w:rsidRPr="00C86E87">
        <w:rPr>
          <w:snapToGrid/>
          <w:szCs w:val="24"/>
        </w:rPr>
        <w:t xml:space="preserve">Defendants </w:t>
      </w:r>
      <w:r w:rsidR="006D1277" w:rsidRPr="00C86E87">
        <w:rPr>
          <w:snapToGrid/>
          <w:szCs w:val="24"/>
        </w:rPr>
        <w:t xml:space="preserve">may </w:t>
      </w:r>
      <w:r w:rsidRPr="00C86E87">
        <w:rPr>
          <w:snapToGrid/>
          <w:szCs w:val="24"/>
        </w:rPr>
        <w:t>direct the court to broader language from the House Report</w:t>
      </w:r>
      <w:r w:rsidR="003E77DD" w:rsidRPr="00C86E87">
        <w:rPr>
          <w:snapToGrid/>
          <w:szCs w:val="24"/>
        </w:rPr>
        <w:t xml:space="preserve"> </w:t>
      </w:r>
      <w:r w:rsidR="003E77DD" w:rsidRPr="00C86E87">
        <w:rPr>
          <w:rStyle w:val="informationalsmall"/>
          <w:szCs w:val="24"/>
        </w:rPr>
        <w:t>in an attempt to frame an argument about why requiring the signed writing to come before the creation of the work would “enhance predictability” or “respond to changes in technology.”</w:t>
      </w:r>
      <w:r w:rsidRPr="00C86E87">
        <w:rPr>
          <w:snapToGrid/>
          <w:szCs w:val="24"/>
        </w:rPr>
        <w:t xml:space="preserve"> </w:t>
      </w:r>
      <w:r w:rsidR="003E77DD" w:rsidRPr="00C86E87">
        <w:rPr>
          <w:snapToGrid/>
          <w:szCs w:val="24"/>
        </w:rPr>
        <w:t>The House Report states</w:t>
      </w:r>
      <w:r w:rsidRPr="00C86E87">
        <w:t xml:space="preserve"> that the overall intent of the act “is to provide for a general revision of the United States Copyright Law, title 17 of the United States Code” as a response to “changes in technology</w:t>
      </w:r>
      <w:r w:rsidR="004C423B" w:rsidRPr="00C86E87">
        <w:t xml:space="preserve"> [that]</w:t>
      </w:r>
      <w:r w:rsidRPr="00C86E87">
        <w:t xml:space="preserve"> have affected the operation of the copyright law” since 1909. H.R. Rep. 94-1476</w:t>
      </w:r>
      <w:r w:rsidR="004C423B" w:rsidRPr="00C86E87">
        <w:t xml:space="preserve"> at 47</w:t>
      </w:r>
      <w:r w:rsidRPr="00C86E87">
        <w:t>.</w:t>
      </w:r>
      <w:r w:rsidRPr="00C86E87">
        <w:rPr>
          <w:color w:val="FF0000"/>
        </w:rPr>
        <w:t xml:space="preserve"> </w:t>
      </w:r>
      <w:r w:rsidRPr="00C86E87">
        <w:t xml:space="preserve">The Supreme Court offered its own interpretation of the purpose of the Act in </w:t>
      </w:r>
      <w:r w:rsidRPr="00C86E87">
        <w:rPr>
          <w:rStyle w:val="groupheading"/>
          <w:i/>
          <w:szCs w:val="24"/>
        </w:rPr>
        <w:t>Community for Creative Non-Violence v. Reid</w:t>
      </w:r>
      <w:r w:rsidRPr="00C86E87">
        <w:rPr>
          <w:rStyle w:val="groupheading"/>
          <w:szCs w:val="24"/>
        </w:rPr>
        <w:t>,</w:t>
      </w:r>
      <w:r w:rsidRPr="00C86E87">
        <w:rPr>
          <w:szCs w:val="24"/>
        </w:rPr>
        <w:t xml:space="preserve"> </w:t>
      </w:r>
      <w:r w:rsidRPr="00C86E87">
        <w:rPr>
          <w:rStyle w:val="informationalsmall"/>
          <w:szCs w:val="24"/>
        </w:rPr>
        <w:t>490 U.S. 730 (1989), stating that Congress’s goal in fashioning the work-for-hire provisions was to “</w:t>
      </w:r>
      <w:proofErr w:type="spellStart"/>
      <w:proofErr w:type="gramStart"/>
      <w:r w:rsidRPr="00C86E87">
        <w:t>ensur</w:t>
      </w:r>
      <w:proofErr w:type="spellEnd"/>
      <w:r w:rsidRPr="00C86E87">
        <w:t>[</w:t>
      </w:r>
      <w:proofErr w:type="gramEnd"/>
      <w:r w:rsidRPr="00C86E87">
        <w:t xml:space="preserve">e] predictability through advance planning.” </w:t>
      </w:r>
      <w:proofErr w:type="gramStart"/>
      <w:r w:rsidRPr="00C86E87">
        <w:rPr>
          <w:i/>
        </w:rPr>
        <w:t xml:space="preserve">Id </w:t>
      </w:r>
      <w:r w:rsidRPr="00C86E87">
        <w:t>at 750.</w:t>
      </w:r>
      <w:proofErr w:type="gramEnd"/>
      <w:r w:rsidRPr="00C86E87">
        <w:rPr>
          <w:rStyle w:val="informationalsmall"/>
          <w:szCs w:val="24"/>
        </w:rPr>
        <w:t xml:space="preserve"> Another excerpt from the House Report, which states that the Act was passed “to enhance predictability and certainty of copyright ownership,” supports the Court’s conclusion. </w:t>
      </w:r>
      <w:r w:rsidRPr="00C86E87">
        <w:t>H.R. Rep. 94-1476 a</w:t>
      </w:r>
      <w:r w:rsidRPr="00C86E87">
        <w:rPr>
          <w:rStyle w:val="informationalsmall"/>
          <w:szCs w:val="24"/>
        </w:rPr>
        <w:t xml:space="preserve">t 129. </w:t>
      </w:r>
    </w:p>
    <w:p w14:paraId="10A845E5" w14:textId="77777777" w:rsidR="002121F5" w:rsidRPr="00C86E87" w:rsidRDefault="002121F5" w:rsidP="003E77DD">
      <w:pPr>
        <w:spacing w:line="480" w:lineRule="auto"/>
        <w:ind w:firstLine="720"/>
        <w:contextualSpacing/>
        <w:jc w:val="both"/>
        <w:rPr>
          <w:szCs w:val="24"/>
        </w:rPr>
      </w:pPr>
      <w:r w:rsidRPr="00C86E87">
        <w:rPr>
          <w:rStyle w:val="informationalsmall"/>
          <w:szCs w:val="24"/>
        </w:rPr>
        <w:t xml:space="preserve">Ultimately, though, </w:t>
      </w:r>
      <w:r w:rsidR="003E77DD" w:rsidRPr="00C86E87">
        <w:rPr>
          <w:rStyle w:val="informationalsmall"/>
          <w:szCs w:val="24"/>
        </w:rPr>
        <w:t xml:space="preserve">interpretations regarding </w:t>
      </w:r>
      <w:r w:rsidRPr="00C86E87">
        <w:rPr>
          <w:rStyle w:val="informationalsmall"/>
          <w:szCs w:val="24"/>
        </w:rPr>
        <w:t xml:space="preserve">the overall purpose of the </w:t>
      </w:r>
      <w:r w:rsidR="003E77DD" w:rsidRPr="00C86E87">
        <w:rPr>
          <w:rStyle w:val="informationalsmall"/>
          <w:szCs w:val="24"/>
        </w:rPr>
        <w:t>Act</w:t>
      </w:r>
      <w:r w:rsidRPr="00C86E87">
        <w:rPr>
          <w:rStyle w:val="informationalsmall"/>
          <w:szCs w:val="24"/>
        </w:rPr>
        <w:t xml:space="preserve"> </w:t>
      </w:r>
      <w:r w:rsidR="003E77DD" w:rsidRPr="00C86E87">
        <w:rPr>
          <w:rStyle w:val="informationalsmall"/>
          <w:szCs w:val="24"/>
        </w:rPr>
        <w:t>are</w:t>
      </w:r>
      <w:r w:rsidRPr="00C86E87">
        <w:rPr>
          <w:rStyle w:val="informationalsmall"/>
          <w:szCs w:val="24"/>
        </w:rPr>
        <w:t xml:space="preserve"> much too broad to be of any realistic use for interpreting the specific provision on which this case hangs. Indeed, these broad statements of Congressional intent “</w:t>
      </w:r>
      <w:r w:rsidRPr="00C86E87">
        <w:t xml:space="preserve">were obviously not made with this narrow issue in mind and they cannot be said to demonstrate a Congressional desire…” with regard to the precise issue at hand. </w:t>
      </w:r>
      <w:r w:rsidRPr="00C86E87">
        <w:rPr>
          <w:i/>
        </w:rPr>
        <w:t xml:space="preserve">Chevron, U.S.A., Inc. v. Natural Resources Defense Council, </w:t>
      </w:r>
      <w:r w:rsidRPr="00C86E87">
        <w:rPr>
          <w:i/>
        </w:rPr>
        <w:lastRenderedPageBreak/>
        <w:t xml:space="preserve">Inc., </w:t>
      </w:r>
      <w:r w:rsidRPr="00C86E87">
        <w:t>467 U.S. 837, 862 (1984).</w:t>
      </w:r>
      <w:r w:rsidRPr="00C86E87">
        <w:rPr>
          <w:rStyle w:val="informationalsmall"/>
        </w:rPr>
        <w:t xml:space="preserve"> </w:t>
      </w:r>
      <w:r w:rsidRPr="00C86E87">
        <w:rPr>
          <w:szCs w:val="24"/>
        </w:rPr>
        <w:t>Instead, the court should consider the much more specific comments in the House Report made in the section that actually deals with works made for hire</w:t>
      </w:r>
      <w:r w:rsidR="006D1277" w:rsidRPr="00C86E87">
        <w:rPr>
          <w:szCs w:val="24"/>
        </w:rPr>
        <w:t>. These comments, discussed earlier, indicate that that Congress did not intend to require the written instrument to precede the creation of the work.</w:t>
      </w:r>
    </w:p>
    <w:p w14:paraId="228E29AD" w14:textId="77777777" w:rsidR="00DE6E01" w:rsidRPr="00C86E87" w:rsidRDefault="002121F5" w:rsidP="00DE6E01">
      <w:pPr>
        <w:spacing w:line="480" w:lineRule="auto"/>
        <w:ind w:firstLine="720"/>
        <w:contextualSpacing/>
        <w:jc w:val="both"/>
      </w:pPr>
      <w:r w:rsidRPr="00C86E87">
        <w:t>Defendants also</w:t>
      </w:r>
      <w:r w:rsidR="00ED7E93" w:rsidRPr="00C86E87">
        <w:t xml:space="preserve"> direct the court</w:t>
      </w:r>
      <w:r w:rsidRPr="00C86E87">
        <w:t xml:space="preserve"> to</w:t>
      </w:r>
      <w:r w:rsidR="00ED7E93" w:rsidRPr="00C86E87">
        <w:t xml:space="preserve"> the comments to the 1964 Revision Bill, H.R. Rep. 51-374. This bill was introduced into both houses of Congress and underwent over a decade of modification before its eventual passage in a substantially different version in 1976. The definition of “work made for </w:t>
      </w:r>
      <w:r w:rsidR="001F4A1F">
        <w:t>hire” remained largely the same</w:t>
      </w:r>
      <w:r w:rsidR="007839BF">
        <w:t>.</w:t>
      </w:r>
      <w:r w:rsidR="00ED7E93" w:rsidRPr="00C86E87">
        <w:t xml:space="preserve"> </w:t>
      </w:r>
      <w:r w:rsidR="007839BF">
        <w:t>T</w:t>
      </w:r>
      <w:r w:rsidR="00ED7E93" w:rsidRPr="00C86E87">
        <w:t xml:space="preserve">he only changes made </w:t>
      </w:r>
      <w:r w:rsidR="00166834">
        <w:t>were</w:t>
      </w:r>
      <w:r w:rsidR="00ED7E93" w:rsidRPr="00C86E87">
        <w:t xml:space="preserve"> some descriptive modifications to what constitutes a work made on special order or commission. The</w:t>
      </w:r>
      <w:r w:rsidR="007839BF">
        <w:t>se</w:t>
      </w:r>
      <w:r w:rsidR="00ED7E93" w:rsidRPr="00C86E87">
        <w:t xml:space="preserve"> revisions do not play into the issue of the timing of the written instrument.</w:t>
      </w:r>
    </w:p>
    <w:p w14:paraId="42E19043" w14:textId="77777777" w:rsidR="00A563E6" w:rsidRPr="00C86E87" w:rsidRDefault="00ED7E93" w:rsidP="00DE6E01">
      <w:pPr>
        <w:spacing w:line="480" w:lineRule="auto"/>
        <w:ind w:firstLine="720"/>
        <w:contextualSpacing/>
        <w:jc w:val="both"/>
        <w:rPr>
          <w:i/>
        </w:rPr>
      </w:pPr>
      <w:r w:rsidRPr="00C86E87">
        <w:t xml:space="preserve">At the time, </w:t>
      </w:r>
      <w:r w:rsidR="006D1277" w:rsidRPr="00C86E87">
        <w:t>Register of Copyrights Barbara Ringer</w:t>
      </w:r>
      <w:r w:rsidRPr="00C86E87">
        <w:t xml:space="preserve"> commented</w:t>
      </w:r>
      <w:r w:rsidR="00D33DAD" w:rsidRPr="00C86E87">
        <w:t>,</w:t>
      </w:r>
      <w:r w:rsidRPr="00C86E87">
        <w:t xml:space="preserve"> “it has to be ‘a work prepared on special order or commission’ in the first place. It would not be considered a ‘work made for hire’ if the contract were signed later on – after the work was written for example.” 1964 Revision Bill with Discussions and Comments, 89th Cong., 1st Sess., Copyright Law Revision, p. 145 (</w:t>
      </w:r>
      <w:r w:rsidRPr="00C86E87">
        <w:rPr>
          <w:rStyle w:val="cosearchterm"/>
        </w:rPr>
        <w:t>H.R</w:t>
      </w:r>
      <w:r w:rsidRPr="00C86E87">
        <w:t xml:space="preserve">. Judiciary Comm. Print 1965). </w:t>
      </w:r>
      <w:r w:rsidR="00A563E6" w:rsidRPr="00C86E87">
        <w:rPr>
          <w:snapToGrid/>
          <w:szCs w:val="24"/>
        </w:rPr>
        <w:t xml:space="preserve">Defendants assert that Ms. Ringer’s comments are administrative decisions that deserve deference under </w:t>
      </w:r>
      <w:r w:rsidR="00A563E6" w:rsidRPr="00C86E87">
        <w:rPr>
          <w:i/>
          <w:snapToGrid/>
          <w:szCs w:val="24"/>
        </w:rPr>
        <w:t xml:space="preserve">Chevron, </w:t>
      </w:r>
      <w:r w:rsidR="00A563E6" w:rsidRPr="00C86E87">
        <w:t xml:space="preserve">467 U.S. 837. Defendants are mistaken in this regard. </w:t>
      </w:r>
      <w:r w:rsidR="00DE6E01" w:rsidRPr="00C86E87">
        <w:t xml:space="preserve">In </w:t>
      </w:r>
      <w:r w:rsidR="00DE6E01" w:rsidRPr="00C86E87">
        <w:rPr>
          <w:i/>
        </w:rPr>
        <w:t xml:space="preserve">U.S. v. Mead Corp., </w:t>
      </w:r>
      <w:r w:rsidR="00DE6E01" w:rsidRPr="00C86E87">
        <w:t>533 U.S. 218 (2001),</w:t>
      </w:r>
      <w:r w:rsidR="00DE6E01" w:rsidRPr="00C86E87">
        <w:rPr>
          <w:i/>
        </w:rPr>
        <w:t xml:space="preserve"> </w:t>
      </w:r>
      <w:r w:rsidR="00DE6E01" w:rsidRPr="00C86E87">
        <w:t xml:space="preserve">the Supreme Court </w:t>
      </w:r>
      <w:proofErr w:type="gramStart"/>
      <w:r w:rsidR="00DE6E01" w:rsidRPr="00C86E87">
        <w:t>stated that</w:t>
      </w:r>
      <w:proofErr w:type="gramEnd"/>
      <w:r w:rsidR="00DE6E01" w:rsidRPr="00C86E87">
        <w:t xml:space="preserve"> “</w:t>
      </w:r>
      <w:r w:rsidR="00A563E6" w:rsidRPr="00C86E87">
        <w:t xml:space="preserve">administrative implementation of a particular statutory provision qualifies for </w:t>
      </w:r>
      <w:r w:rsidR="00A563E6" w:rsidRPr="00C86E87">
        <w:rPr>
          <w:rStyle w:val="Emphasis"/>
        </w:rPr>
        <w:t>Chevron</w:t>
      </w:r>
      <w:r w:rsidR="00A563E6" w:rsidRPr="00C86E87">
        <w:t xml:space="preserve"> deference when…the agency interpretation claiming deference was promulgated in the exercise of </w:t>
      </w:r>
      <w:r w:rsidR="00423182" w:rsidRPr="00C86E87">
        <w:t>[delegated</w:t>
      </w:r>
      <w:r w:rsidR="00A563E6" w:rsidRPr="00C86E87">
        <w:t>] authority.”</w:t>
      </w:r>
      <w:r w:rsidR="00DE6E01" w:rsidRPr="00C86E87">
        <w:t xml:space="preserve"> </w:t>
      </w:r>
      <w:proofErr w:type="gramStart"/>
      <w:r w:rsidR="00DE6E01" w:rsidRPr="00C86E87">
        <w:rPr>
          <w:i/>
        </w:rPr>
        <w:t xml:space="preserve">Id. </w:t>
      </w:r>
      <w:r w:rsidR="00DE6E01" w:rsidRPr="00C86E87">
        <w:t>at 227.</w:t>
      </w:r>
      <w:proofErr w:type="gramEnd"/>
      <w:r w:rsidR="00DE6E01" w:rsidRPr="00C86E87">
        <w:t xml:space="preserve"> Ms. Ringer’s comments were not made in promulgation of any delegated authority. They were largely conjectural observations </w:t>
      </w:r>
      <w:r w:rsidR="00EC14F1" w:rsidRPr="00166834">
        <w:t>that were</w:t>
      </w:r>
      <w:r w:rsidR="00EC14F1">
        <w:t xml:space="preserve"> </w:t>
      </w:r>
      <w:r w:rsidR="00DE6E01" w:rsidRPr="00C86E87">
        <w:t>made before a legislative committe</w:t>
      </w:r>
      <w:r w:rsidR="00423182" w:rsidRPr="00C86E87">
        <w:t xml:space="preserve">e, and should not be given </w:t>
      </w:r>
      <w:r w:rsidR="00423182" w:rsidRPr="00C86E87">
        <w:rPr>
          <w:i/>
        </w:rPr>
        <w:t xml:space="preserve">Chevron </w:t>
      </w:r>
      <w:r w:rsidR="00423182" w:rsidRPr="00C86E87">
        <w:t xml:space="preserve">deference. At most, her comments have merely the “power to persuade.” </w:t>
      </w:r>
      <w:proofErr w:type="gramStart"/>
      <w:r w:rsidR="00423182" w:rsidRPr="00C86E87">
        <w:rPr>
          <w:i/>
        </w:rPr>
        <w:t xml:space="preserve">Skidmore v. Swift &amp; Co., </w:t>
      </w:r>
      <w:r w:rsidR="00423182" w:rsidRPr="00C86E87">
        <w:t xml:space="preserve">323 U.S. 134, 140 </w:t>
      </w:r>
      <w:r w:rsidR="00423182" w:rsidRPr="00C86E87">
        <w:lastRenderedPageBreak/>
        <w:t>(1944).</w:t>
      </w:r>
      <w:proofErr w:type="gramEnd"/>
      <w:r w:rsidR="00423182" w:rsidRPr="00C86E87">
        <w:t xml:space="preserve"> </w:t>
      </w:r>
    </w:p>
    <w:p w14:paraId="62683FF1" w14:textId="77777777" w:rsidR="00ED7E93" w:rsidRPr="00C86E87" w:rsidRDefault="00423182" w:rsidP="00ED7E93">
      <w:pPr>
        <w:spacing w:line="480" w:lineRule="auto"/>
        <w:ind w:firstLine="720"/>
        <w:contextualSpacing/>
        <w:jc w:val="both"/>
        <w:rPr>
          <w:snapToGrid/>
          <w:szCs w:val="24"/>
        </w:rPr>
      </w:pPr>
      <w:r w:rsidRPr="00C86E87">
        <w:t xml:space="preserve">In determining whether </w:t>
      </w:r>
      <w:r w:rsidR="006D1277" w:rsidRPr="00C86E87">
        <w:t>Ms. Ringer’s</w:t>
      </w:r>
      <w:r w:rsidRPr="00C86E87">
        <w:t xml:space="preserve"> comments are persuasive, the Court must read </w:t>
      </w:r>
      <w:r w:rsidR="006D1277" w:rsidRPr="00C86E87">
        <w:t>them</w:t>
      </w:r>
      <w:r w:rsidRPr="00C86E87">
        <w:t xml:space="preserve"> in context</w:t>
      </w:r>
      <w:r w:rsidR="00B0054F" w:rsidRPr="00C86E87">
        <w:t>.</w:t>
      </w:r>
      <w:r w:rsidR="00ED7E93" w:rsidRPr="00C86E87">
        <w:t xml:space="preserve"> </w:t>
      </w:r>
      <w:r w:rsidR="00B0054F" w:rsidRPr="00C86E87">
        <w:t>Ms. Ringer was concerned that</w:t>
      </w:r>
      <w:r w:rsidR="00ED7E93" w:rsidRPr="00C86E87">
        <w:t xml:space="preserve"> </w:t>
      </w:r>
      <w:r w:rsidR="00ED7E93" w:rsidRPr="00C86E87">
        <w:rPr>
          <w:i/>
        </w:rPr>
        <w:t xml:space="preserve">all </w:t>
      </w:r>
      <w:r w:rsidR="00ED7E93" w:rsidRPr="00C86E87">
        <w:t>commissi</w:t>
      </w:r>
      <w:r w:rsidR="00B0054F" w:rsidRPr="00C86E87">
        <w:t xml:space="preserve">oned works might </w:t>
      </w:r>
      <w:r w:rsidR="00ED7E93" w:rsidRPr="00C86E87">
        <w:t xml:space="preserve">fall under the original definition of a work made for hire. </w:t>
      </w:r>
      <w:r w:rsidR="006D1277" w:rsidRPr="00C86E87">
        <w:t>Her</w:t>
      </w:r>
      <w:r w:rsidR="00ED7E93" w:rsidRPr="00C86E87">
        <w:t xml:space="preserve"> precise concern was that an opera, for example, might legally be considered a work made for hire, to the protest of the composer, simply because it was </w:t>
      </w:r>
      <w:r w:rsidR="006D1277" w:rsidRPr="00C86E87">
        <w:t>prepared for</w:t>
      </w:r>
      <w:r w:rsidR="00ED7E93" w:rsidRPr="00C86E87">
        <w:t xml:space="preserve"> someone else. It would </w:t>
      </w:r>
      <w:r w:rsidR="00025A81" w:rsidRPr="00C86E87">
        <w:t>appear</w:t>
      </w:r>
      <w:r w:rsidR="00ED7E93" w:rsidRPr="00C86E87">
        <w:t xml:space="preserve"> that Congress did address Ms. Ringer’s concern by modifying the definition of “a work prepared on special order or commission” to include </w:t>
      </w:r>
      <w:r w:rsidR="00F979BE" w:rsidRPr="00C86E87">
        <w:t xml:space="preserve">only </w:t>
      </w:r>
      <w:r w:rsidR="00ED7E93" w:rsidRPr="00C86E87">
        <w:t xml:space="preserve">those </w:t>
      </w:r>
      <w:r w:rsidR="00F979BE" w:rsidRPr="00C86E87">
        <w:t xml:space="preserve">works </w:t>
      </w:r>
      <w:r w:rsidR="00ED7E93" w:rsidRPr="00C86E87">
        <w:t xml:space="preserve">that were prepared </w:t>
      </w:r>
      <w:r w:rsidR="006E77FF" w:rsidRPr="00C86E87">
        <w:t xml:space="preserve">for certain purposes. </w:t>
      </w:r>
      <w:r w:rsidR="0079059D" w:rsidRPr="00C86E87">
        <w:rPr>
          <w:i/>
        </w:rPr>
        <w:t xml:space="preserve">See </w:t>
      </w:r>
      <w:r w:rsidR="0079059D" w:rsidRPr="00C86E87">
        <w:rPr>
          <w:bCs/>
          <w:szCs w:val="24"/>
        </w:rPr>
        <w:t xml:space="preserve">17 U.S.C. § 101(2). </w:t>
      </w:r>
      <w:r w:rsidR="006E77FF" w:rsidRPr="00C86E87">
        <w:t>Operas</w:t>
      </w:r>
      <w:r w:rsidR="006D1277" w:rsidRPr="00C86E87">
        <w:t>, incidentally,</w:t>
      </w:r>
      <w:r w:rsidR="006E77FF" w:rsidRPr="00C86E87">
        <w:t xml:space="preserve"> were spared from the list.</w:t>
      </w:r>
      <w:r w:rsidR="00025A81" w:rsidRPr="00C86E87">
        <w:t xml:space="preserve"> </w:t>
      </w:r>
      <w:r w:rsidR="00025A81" w:rsidRPr="00C86E87">
        <w:rPr>
          <w:i/>
        </w:rPr>
        <w:t xml:space="preserve">See </w:t>
      </w:r>
      <w:r w:rsidR="0079059D" w:rsidRPr="00C86E87">
        <w:rPr>
          <w:bCs/>
          <w:i/>
          <w:szCs w:val="24"/>
        </w:rPr>
        <w:t>Id</w:t>
      </w:r>
      <w:r w:rsidR="00ED7E93" w:rsidRPr="00C86E87">
        <w:rPr>
          <w:bCs/>
          <w:szCs w:val="24"/>
        </w:rPr>
        <w:t xml:space="preserve">. </w:t>
      </w:r>
      <w:r w:rsidR="00ED7E93" w:rsidRPr="00C86E87">
        <w:rPr>
          <w:snapToGrid/>
          <w:szCs w:val="24"/>
        </w:rPr>
        <w:t>It is noteworthy that Congress addressed the concerns regarding the definition of a work made for hire without inserting any provision about when the agreement had to be signed.</w:t>
      </w:r>
    </w:p>
    <w:p w14:paraId="5469E614" w14:textId="77777777" w:rsidR="000C5258" w:rsidRPr="00C86E87" w:rsidRDefault="000C5258" w:rsidP="006068A6">
      <w:pPr>
        <w:spacing w:line="480" w:lineRule="auto"/>
        <w:ind w:firstLine="720"/>
        <w:contextualSpacing/>
        <w:jc w:val="both"/>
        <w:rPr>
          <w:szCs w:val="24"/>
        </w:rPr>
      </w:pPr>
      <w:r w:rsidRPr="00C86E87">
        <w:rPr>
          <w:szCs w:val="24"/>
        </w:rPr>
        <w:t xml:space="preserve">Defendants argue that </w:t>
      </w:r>
      <w:r w:rsidRPr="00C86E87">
        <w:rPr>
          <w:bCs/>
          <w:szCs w:val="24"/>
        </w:rPr>
        <w:t xml:space="preserve">17 U.S.C. § 101(2) must require the writing to precede the creation of the work so as not to render it duplicative of 17 U.S.C. § 204, which deals with transfers of copyright ownership. </w:t>
      </w:r>
      <w:r w:rsidR="00F37084" w:rsidRPr="00C86E87">
        <w:rPr>
          <w:bCs/>
          <w:szCs w:val="24"/>
        </w:rPr>
        <w:t xml:space="preserve">This is not the case. </w:t>
      </w:r>
      <w:r w:rsidRPr="00C86E87">
        <w:rPr>
          <w:bCs/>
          <w:szCs w:val="24"/>
        </w:rPr>
        <w:t xml:space="preserve">A work made for hire agreement under § 101(2) would </w:t>
      </w:r>
      <w:r w:rsidR="008D7854" w:rsidRPr="00C86E87">
        <w:rPr>
          <w:bCs/>
          <w:szCs w:val="24"/>
        </w:rPr>
        <w:t>assign</w:t>
      </w:r>
      <w:r w:rsidRPr="00C86E87">
        <w:rPr>
          <w:bCs/>
          <w:szCs w:val="24"/>
        </w:rPr>
        <w:t xml:space="preserve"> both authorship and ownership, whereas a transfer under § 204</w:t>
      </w:r>
      <w:r w:rsidR="00F37084" w:rsidRPr="00C86E87">
        <w:rPr>
          <w:bCs/>
          <w:szCs w:val="24"/>
        </w:rPr>
        <w:t xml:space="preserve"> would convey only ownership, thus making the transactions governed by each section fundamentally different. </w:t>
      </w:r>
      <w:r w:rsidR="00F37084" w:rsidRPr="00C86E87">
        <w:rPr>
          <w:bCs/>
          <w:i/>
          <w:szCs w:val="24"/>
        </w:rPr>
        <w:t>See Playboy</w:t>
      </w:r>
      <w:r w:rsidR="00F37084" w:rsidRPr="00C86E87">
        <w:rPr>
          <w:bCs/>
          <w:szCs w:val="24"/>
        </w:rPr>
        <w:t>,</w:t>
      </w:r>
      <w:r w:rsidR="00F37084" w:rsidRPr="00C86E87">
        <w:rPr>
          <w:bCs/>
          <w:i/>
          <w:szCs w:val="24"/>
        </w:rPr>
        <w:t xml:space="preserve"> </w:t>
      </w:r>
      <w:r w:rsidR="00F37084" w:rsidRPr="00C86E87">
        <w:rPr>
          <w:szCs w:val="24"/>
        </w:rPr>
        <w:t>53 F.</w:t>
      </w:r>
      <w:r w:rsidR="008D7854" w:rsidRPr="00C86E87">
        <w:rPr>
          <w:szCs w:val="24"/>
        </w:rPr>
        <w:t xml:space="preserve">3d </w:t>
      </w:r>
      <w:r w:rsidR="0079059D" w:rsidRPr="00C86E87">
        <w:rPr>
          <w:szCs w:val="24"/>
        </w:rPr>
        <w:t xml:space="preserve">at </w:t>
      </w:r>
      <w:r w:rsidR="008D7854" w:rsidRPr="00C86E87">
        <w:rPr>
          <w:szCs w:val="24"/>
        </w:rPr>
        <w:t xml:space="preserve">558. </w:t>
      </w:r>
      <w:r w:rsidRPr="00C86E87">
        <w:rPr>
          <w:bCs/>
          <w:szCs w:val="24"/>
        </w:rPr>
        <w:t xml:space="preserve">Defendants argue that this distinction makes </w:t>
      </w:r>
      <w:r w:rsidR="00F37084" w:rsidRPr="00C86E87">
        <w:rPr>
          <w:bCs/>
          <w:szCs w:val="24"/>
        </w:rPr>
        <w:t xml:space="preserve">no practical difference, which </w:t>
      </w:r>
      <w:r w:rsidRPr="00C86E87">
        <w:rPr>
          <w:bCs/>
          <w:szCs w:val="24"/>
        </w:rPr>
        <w:t xml:space="preserve">is no argument at all. The economic nature of each transaction is not relevant; only the legal nature matters. </w:t>
      </w:r>
      <w:r w:rsidR="00CE6EC2" w:rsidRPr="00C86E87">
        <w:rPr>
          <w:bCs/>
          <w:szCs w:val="24"/>
        </w:rPr>
        <w:t xml:space="preserve">Ownership is transferrable in a way that authorship is not. § 101(2) exists to determine not only the initial owner, but the author as well. </w:t>
      </w:r>
      <w:r w:rsidR="00F37084" w:rsidRPr="00C86E87">
        <w:rPr>
          <w:bCs/>
          <w:szCs w:val="24"/>
        </w:rPr>
        <w:t xml:space="preserve">Despite the fact that the two sections may </w:t>
      </w:r>
      <w:r w:rsidR="008D7854" w:rsidRPr="00C86E87">
        <w:rPr>
          <w:bCs/>
          <w:szCs w:val="24"/>
        </w:rPr>
        <w:t>appear similar in effect</w:t>
      </w:r>
      <w:r w:rsidR="00F37084" w:rsidRPr="00C86E87">
        <w:rPr>
          <w:bCs/>
          <w:szCs w:val="24"/>
        </w:rPr>
        <w:t xml:space="preserve"> with regard to works made for hire, they serve different legal p</w:t>
      </w:r>
      <w:r w:rsidR="008D7854" w:rsidRPr="00C86E87">
        <w:rPr>
          <w:bCs/>
          <w:szCs w:val="24"/>
        </w:rPr>
        <w:t>urposes and are not duplicative.</w:t>
      </w:r>
    </w:p>
    <w:p w14:paraId="7DAC6BD2" w14:textId="77777777" w:rsidR="00B176F4" w:rsidRDefault="00A01491" w:rsidP="00B176F4">
      <w:pPr>
        <w:spacing w:after="240" w:line="480" w:lineRule="auto"/>
        <w:ind w:firstLine="720"/>
        <w:jc w:val="both"/>
      </w:pPr>
      <w:r w:rsidRPr="00C86E87">
        <w:rPr>
          <w:szCs w:val="24"/>
        </w:rPr>
        <w:t xml:space="preserve">Defendants </w:t>
      </w:r>
      <w:r w:rsidR="00DB72F8" w:rsidRPr="00C86E87">
        <w:rPr>
          <w:szCs w:val="24"/>
        </w:rPr>
        <w:t xml:space="preserve">also </w:t>
      </w:r>
      <w:r w:rsidRPr="00C86E87">
        <w:rPr>
          <w:szCs w:val="24"/>
        </w:rPr>
        <w:t xml:space="preserve">argue that the Rule of Lenity applies, and that it mandates a decision in </w:t>
      </w:r>
      <w:r w:rsidRPr="00C86E87">
        <w:rPr>
          <w:szCs w:val="24"/>
        </w:rPr>
        <w:lastRenderedPageBreak/>
        <w:t xml:space="preserve">their favor. This assertion is meritless. It is true that the Rule of Lenity can apply to cases involving “hybrid” statutes </w:t>
      </w:r>
      <w:r w:rsidR="00F852F7" w:rsidRPr="00C86E87">
        <w:rPr>
          <w:szCs w:val="24"/>
        </w:rPr>
        <w:t xml:space="preserve">that are enforceable through </w:t>
      </w:r>
      <w:r w:rsidR="00DB72F8" w:rsidRPr="00C86E87">
        <w:rPr>
          <w:szCs w:val="24"/>
        </w:rPr>
        <w:t>both civil and criminal litigation</w:t>
      </w:r>
      <w:r w:rsidRPr="00C86E87">
        <w:rPr>
          <w:szCs w:val="24"/>
        </w:rPr>
        <w:t xml:space="preserve">. </w:t>
      </w:r>
      <w:r w:rsidRPr="00C86E87">
        <w:rPr>
          <w:i/>
          <w:szCs w:val="24"/>
        </w:rPr>
        <w:t>See</w:t>
      </w:r>
      <w:r w:rsidR="00933E1D" w:rsidRPr="00C86E87">
        <w:rPr>
          <w:i/>
          <w:szCs w:val="24"/>
        </w:rPr>
        <w:t xml:space="preserve"> </w:t>
      </w:r>
      <w:r w:rsidR="00933E1D" w:rsidRPr="00C86E87">
        <w:rPr>
          <w:szCs w:val="24"/>
        </w:rPr>
        <w:t>Jonathan Marx,</w:t>
      </w:r>
      <w:r w:rsidRPr="00C86E87">
        <w:rPr>
          <w:i/>
          <w:szCs w:val="24"/>
        </w:rPr>
        <w:t xml:space="preserve"> </w:t>
      </w:r>
      <w:r w:rsidRPr="00C86E87">
        <w:rPr>
          <w:i/>
          <w:iCs/>
        </w:rPr>
        <w:t xml:space="preserve">How to Construe a Hybrid Statute, </w:t>
      </w:r>
      <w:r w:rsidRPr="00C86E87">
        <w:t xml:space="preserve">93 Va. L. Rev. 235 (2007). </w:t>
      </w:r>
      <w:r w:rsidR="00645B74" w:rsidRPr="00C86E87">
        <w:t xml:space="preserve">However, there is no criminal sanction for failing to meet the statutory definition of a work made for hire. Since this is a civil case, construing the statute to give </w:t>
      </w:r>
      <w:r w:rsidR="00A2334D" w:rsidRPr="00C86E87">
        <w:t>the D</w:t>
      </w:r>
      <w:r w:rsidR="00F852F7" w:rsidRPr="00C86E87">
        <w:t>efendant</w:t>
      </w:r>
      <w:r w:rsidR="00A2334D" w:rsidRPr="00C86E87">
        <w:t>s</w:t>
      </w:r>
      <w:r w:rsidR="00645B74" w:rsidRPr="00C86E87">
        <w:t xml:space="preserve"> the benefit of the doubt </w:t>
      </w:r>
      <w:r w:rsidR="00F852F7" w:rsidRPr="00C86E87">
        <w:t xml:space="preserve">is inappropriate and </w:t>
      </w:r>
      <w:r w:rsidR="00645B74" w:rsidRPr="00C86E87">
        <w:t xml:space="preserve">will result in prejudice against </w:t>
      </w:r>
      <w:r w:rsidR="00F852F7" w:rsidRPr="00C86E87">
        <w:t>OGS</w:t>
      </w:r>
      <w:r w:rsidR="00645B74" w:rsidRPr="00C86E87">
        <w:t xml:space="preserve">. In addition, the Rule of Lenity mandates a </w:t>
      </w:r>
      <w:r w:rsidR="00645B74" w:rsidRPr="00C86E87">
        <w:rPr>
          <w:i/>
        </w:rPr>
        <w:t xml:space="preserve">narrower </w:t>
      </w:r>
      <w:r w:rsidR="00645B74" w:rsidRPr="00C86E87">
        <w:t xml:space="preserve">reading of a statute, not a broader one, as Defendants’ </w:t>
      </w:r>
      <w:r w:rsidR="00B76FBC" w:rsidRPr="00C86E87">
        <w:t>request</w:t>
      </w:r>
      <w:r w:rsidR="00645B74" w:rsidRPr="00C86E87">
        <w:t>. The Court should not consider the Rule of Lenity in this case.</w:t>
      </w:r>
    </w:p>
    <w:p w14:paraId="5AB16055" w14:textId="77777777" w:rsidR="00B176F4" w:rsidRPr="00B176F4" w:rsidRDefault="00B176F4" w:rsidP="00B176F4">
      <w:pPr>
        <w:spacing w:after="240"/>
        <w:jc w:val="both"/>
      </w:pPr>
    </w:p>
    <w:p w14:paraId="61C97F42" w14:textId="77777777" w:rsidR="008C2DB8" w:rsidRPr="00B176F4" w:rsidRDefault="00397F4D" w:rsidP="00B176F4">
      <w:pPr>
        <w:pStyle w:val="ListParagraph"/>
        <w:numPr>
          <w:ilvl w:val="0"/>
          <w:numId w:val="5"/>
        </w:numPr>
        <w:rPr>
          <w:b/>
        </w:rPr>
      </w:pPr>
      <w:r w:rsidRPr="00B176F4">
        <w:rPr>
          <w:b/>
        </w:rPr>
        <w:t xml:space="preserve">A More Flexible </w:t>
      </w:r>
      <w:r w:rsidR="006068A6" w:rsidRPr="00B176F4">
        <w:rPr>
          <w:b/>
        </w:rPr>
        <w:t>Rule</w:t>
      </w:r>
      <w:r w:rsidRPr="00B176F4">
        <w:rPr>
          <w:b/>
        </w:rPr>
        <w:t xml:space="preserve"> </w:t>
      </w:r>
      <w:r w:rsidR="00567062" w:rsidRPr="00B176F4">
        <w:rPr>
          <w:b/>
        </w:rPr>
        <w:t>Is</w:t>
      </w:r>
      <w:r w:rsidR="008C2DB8" w:rsidRPr="00B176F4">
        <w:rPr>
          <w:b/>
        </w:rPr>
        <w:t xml:space="preserve"> Better Policy Because It Respects </w:t>
      </w:r>
      <w:r w:rsidR="00B176F4">
        <w:rPr>
          <w:b/>
        </w:rPr>
        <w:t>t</w:t>
      </w:r>
      <w:r w:rsidR="0079059D" w:rsidRPr="00B176F4">
        <w:rPr>
          <w:b/>
        </w:rPr>
        <w:t xml:space="preserve">he </w:t>
      </w:r>
      <w:r w:rsidR="008C2DB8" w:rsidRPr="00B176F4">
        <w:rPr>
          <w:b/>
        </w:rPr>
        <w:t xml:space="preserve">Intent </w:t>
      </w:r>
      <w:r w:rsidR="00B176F4">
        <w:rPr>
          <w:b/>
        </w:rPr>
        <w:t>of t</w:t>
      </w:r>
      <w:r w:rsidR="0079059D" w:rsidRPr="00B176F4">
        <w:rPr>
          <w:b/>
        </w:rPr>
        <w:t xml:space="preserve">he </w:t>
      </w:r>
      <w:r w:rsidR="008C2DB8" w:rsidRPr="00B176F4">
        <w:rPr>
          <w:b/>
        </w:rPr>
        <w:t>Parties</w:t>
      </w:r>
    </w:p>
    <w:p w14:paraId="0A23F3C7" w14:textId="77777777" w:rsidR="008C2DB8" w:rsidRPr="00C86E87" w:rsidRDefault="008C2DB8" w:rsidP="00951AA7">
      <w:pPr>
        <w:spacing w:line="480" w:lineRule="auto"/>
        <w:ind w:firstLine="720"/>
        <w:contextualSpacing/>
      </w:pPr>
    </w:p>
    <w:p w14:paraId="204BC2E1" w14:textId="77777777" w:rsidR="00C2568C" w:rsidRPr="00C86E87" w:rsidRDefault="009E0746" w:rsidP="00951AA7">
      <w:pPr>
        <w:spacing w:line="480" w:lineRule="auto"/>
        <w:ind w:firstLine="720"/>
        <w:contextualSpacing/>
        <w:jc w:val="both"/>
        <w:rPr>
          <w:snapToGrid/>
          <w:szCs w:val="24"/>
        </w:rPr>
      </w:pPr>
      <w:r w:rsidRPr="00C86E87">
        <w:t xml:space="preserve">As </w:t>
      </w:r>
      <w:r w:rsidR="000D2892" w:rsidRPr="00C86E87">
        <w:t>previously mentioned on several occasions</w:t>
      </w:r>
      <w:r w:rsidRPr="00C86E87">
        <w:t xml:space="preserve">, there is a circuit split with regard to the particular issue of law in this case. </w:t>
      </w:r>
      <w:r w:rsidR="000D2892" w:rsidRPr="00C86E87">
        <w:rPr>
          <w:snapToGrid/>
          <w:szCs w:val="24"/>
        </w:rPr>
        <w:t xml:space="preserve">Given the choice between the Seventh Circuit’s ruling in </w:t>
      </w:r>
      <w:r w:rsidR="006F33BC" w:rsidRPr="00C86E87">
        <w:rPr>
          <w:i/>
        </w:rPr>
        <w:t xml:space="preserve">Schiller, </w:t>
      </w:r>
      <w:r w:rsidR="006F33BC" w:rsidRPr="00C86E87">
        <w:rPr>
          <w:rStyle w:val="informationalsmall"/>
          <w:szCs w:val="24"/>
        </w:rPr>
        <w:t>969 F.2d 412</w:t>
      </w:r>
      <w:r w:rsidR="000D2892" w:rsidRPr="00C86E87">
        <w:rPr>
          <w:i/>
          <w:snapToGrid/>
          <w:szCs w:val="24"/>
        </w:rPr>
        <w:t xml:space="preserve">, </w:t>
      </w:r>
      <w:r w:rsidR="000D2892" w:rsidRPr="00C86E87">
        <w:rPr>
          <w:snapToGrid/>
          <w:szCs w:val="24"/>
        </w:rPr>
        <w:t xml:space="preserve">and the Second Circuit’s ruling in </w:t>
      </w:r>
      <w:r w:rsidR="006F33BC" w:rsidRPr="00C86E87">
        <w:rPr>
          <w:i/>
        </w:rPr>
        <w:t xml:space="preserve">Playboy, </w:t>
      </w:r>
      <w:r w:rsidR="00ED1F2C" w:rsidRPr="00C86E87">
        <w:rPr>
          <w:rStyle w:val="informationalsmall"/>
          <w:szCs w:val="24"/>
        </w:rPr>
        <w:t>53 F.3d 549</w:t>
      </w:r>
      <w:r w:rsidR="000D2892" w:rsidRPr="00C86E87">
        <w:rPr>
          <w:snapToGrid/>
          <w:szCs w:val="24"/>
        </w:rPr>
        <w:t>, this court would be wise to adopt the latter.</w:t>
      </w:r>
    </w:p>
    <w:p w14:paraId="15800450" w14:textId="77777777" w:rsidR="00742AB6" w:rsidRPr="00C86E87" w:rsidRDefault="00742AB6" w:rsidP="00742AB6">
      <w:pPr>
        <w:widowControl/>
        <w:spacing w:line="480" w:lineRule="auto"/>
        <w:ind w:firstLine="720"/>
        <w:contextualSpacing/>
        <w:jc w:val="both"/>
      </w:pPr>
      <w:r w:rsidRPr="00C86E87">
        <w:t xml:space="preserve">The </w:t>
      </w:r>
      <w:r w:rsidRPr="00C86E87">
        <w:rPr>
          <w:snapToGrid/>
          <w:szCs w:val="24"/>
        </w:rPr>
        <w:t xml:space="preserve">Second Circuit agreed that one purpose of the Copyright Act was to help ensure predictability and certainty. That purpose would be “thwarted </w:t>
      </w:r>
      <w:r w:rsidRPr="00C86E87">
        <w:t xml:space="preserve">if a hiring party and an independent contractor could enter into a work-for-hire agreement years after a work was created.” </w:t>
      </w:r>
      <w:proofErr w:type="gramStart"/>
      <w:r w:rsidRPr="00C86E87">
        <w:rPr>
          <w:i/>
        </w:rPr>
        <w:t>Playboy</w:t>
      </w:r>
      <w:r w:rsidRPr="00C86E87">
        <w:t xml:space="preserve">, </w:t>
      </w:r>
      <w:r w:rsidRPr="00C86E87">
        <w:rPr>
          <w:rStyle w:val="informationalsmall"/>
          <w:szCs w:val="24"/>
        </w:rPr>
        <w:t>53</w:t>
      </w:r>
      <w:r w:rsidR="0079059D" w:rsidRPr="00C86E87">
        <w:rPr>
          <w:rStyle w:val="informationalsmall"/>
          <w:szCs w:val="24"/>
        </w:rPr>
        <w:t xml:space="preserve"> F.3d</w:t>
      </w:r>
      <w:r w:rsidRPr="00C86E87">
        <w:rPr>
          <w:rStyle w:val="informationalsmall"/>
          <w:szCs w:val="24"/>
        </w:rPr>
        <w:t xml:space="preserve"> at </w:t>
      </w:r>
      <w:r w:rsidRPr="00C86E87">
        <w:t>559.</w:t>
      </w:r>
      <w:proofErr w:type="gramEnd"/>
      <w:r w:rsidRPr="00C86E87">
        <w:t xml:space="preserve"> As such, the Court </w:t>
      </w:r>
      <w:proofErr w:type="gramStart"/>
      <w:r w:rsidRPr="00C86E87">
        <w:t>decided</w:t>
      </w:r>
      <w:proofErr w:type="gramEnd"/>
      <w:r w:rsidRPr="00C86E87">
        <w:t xml:space="preserve"> “</w:t>
      </w:r>
      <w:r w:rsidRPr="00C86E87">
        <w:rPr>
          <w:snapToGrid/>
          <w:szCs w:val="24"/>
        </w:rPr>
        <w:t>that the 1976 Act requires that the parties agree before the creation of the work that it will be a work made for hire.</w:t>
      </w:r>
      <w:r w:rsidRPr="00C86E87">
        <w:t xml:space="preserve">” </w:t>
      </w:r>
      <w:r w:rsidRPr="00C86E87">
        <w:rPr>
          <w:i/>
        </w:rPr>
        <w:t>Id</w:t>
      </w:r>
      <w:r w:rsidRPr="00C86E87">
        <w:t xml:space="preserve">. </w:t>
      </w:r>
    </w:p>
    <w:p w14:paraId="6B322AFB" w14:textId="77777777" w:rsidR="009E0746" w:rsidRPr="00C86E87" w:rsidRDefault="00742AB6" w:rsidP="00E80502">
      <w:pPr>
        <w:widowControl/>
        <w:spacing w:line="480" w:lineRule="auto"/>
        <w:ind w:firstLine="720"/>
        <w:contextualSpacing/>
        <w:jc w:val="both"/>
        <w:rPr>
          <w:i/>
          <w:snapToGrid/>
          <w:szCs w:val="24"/>
        </w:rPr>
      </w:pPr>
      <w:r w:rsidRPr="00C86E87">
        <w:t xml:space="preserve">Requiring that the parties agree in advance, for the sake of achieving the Congressional objectives of predictability and certainty, is a far cry from requiring that the parties agree both in advance </w:t>
      </w:r>
      <w:r w:rsidRPr="00C86E87">
        <w:rPr>
          <w:i/>
        </w:rPr>
        <w:t>and</w:t>
      </w:r>
      <w:r w:rsidRPr="00C86E87">
        <w:t xml:space="preserve"> </w:t>
      </w:r>
      <w:r w:rsidRPr="00C86E87">
        <w:rPr>
          <w:i/>
        </w:rPr>
        <w:t>in writing</w:t>
      </w:r>
      <w:r w:rsidRPr="00C86E87">
        <w:t>. Indeed, t</w:t>
      </w:r>
      <w:r w:rsidR="00EC618A" w:rsidRPr="00C86E87">
        <w:t>he C</w:t>
      </w:r>
      <w:r w:rsidR="00D31CD7" w:rsidRPr="00C86E87">
        <w:t xml:space="preserve">ourt in </w:t>
      </w:r>
      <w:r w:rsidR="00D31CD7" w:rsidRPr="00C86E87">
        <w:rPr>
          <w:i/>
        </w:rPr>
        <w:t xml:space="preserve">Playboy </w:t>
      </w:r>
      <w:r w:rsidR="00D31CD7" w:rsidRPr="00C86E87">
        <w:t>was “</w:t>
      </w:r>
      <w:r w:rsidR="00D31CD7" w:rsidRPr="00C86E87">
        <w:rPr>
          <w:snapToGrid/>
          <w:szCs w:val="24"/>
        </w:rPr>
        <w:t xml:space="preserve">not convinced…that the actual </w:t>
      </w:r>
      <w:r w:rsidR="00D31CD7" w:rsidRPr="00C86E87">
        <w:rPr>
          <w:snapToGrid/>
          <w:szCs w:val="24"/>
        </w:rPr>
        <w:lastRenderedPageBreak/>
        <w:t>writing memorializing the agreement must be executed before the creation of the work.</w:t>
      </w:r>
      <w:r w:rsidR="00B3003C" w:rsidRPr="00C86E87">
        <w:rPr>
          <w:snapToGrid/>
          <w:szCs w:val="24"/>
        </w:rPr>
        <w:t xml:space="preserve">” </w:t>
      </w:r>
      <w:r w:rsidR="0079059D" w:rsidRPr="00C86E87">
        <w:rPr>
          <w:rStyle w:val="informationalsmall"/>
          <w:i/>
          <w:szCs w:val="24"/>
        </w:rPr>
        <w:t>Id</w:t>
      </w:r>
      <w:r w:rsidR="00D31CD7" w:rsidRPr="00C86E87">
        <w:rPr>
          <w:snapToGrid/>
          <w:szCs w:val="24"/>
        </w:rPr>
        <w:t xml:space="preserve">. The Court cites </w:t>
      </w:r>
      <w:proofErr w:type="spellStart"/>
      <w:r w:rsidR="00D31CD7" w:rsidRPr="00C86E87">
        <w:rPr>
          <w:snapToGrid/>
          <w:szCs w:val="24"/>
        </w:rPr>
        <w:t>Nimmer’s</w:t>
      </w:r>
      <w:proofErr w:type="spellEnd"/>
      <w:r w:rsidR="00D31CD7" w:rsidRPr="00C86E87">
        <w:rPr>
          <w:snapToGrid/>
          <w:szCs w:val="24"/>
        </w:rPr>
        <w:t xml:space="preserve"> </w:t>
      </w:r>
      <w:r w:rsidR="006068A6" w:rsidRPr="00C86E87">
        <w:rPr>
          <w:snapToGrid/>
          <w:szCs w:val="24"/>
        </w:rPr>
        <w:t>copyright treatise</w:t>
      </w:r>
      <w:r w:rsidR="00D31CD7" w:rsidRPr="00C86E87">
        <w:rPr>
          <w:snapToGrid/>
          <w:szCs w:val="24"/>
        </w:rPr>
        <w:t xml:space="preserve"> to demonstrate that “such a requirement cou</w:t>
      </w:r>
      <w:r w:rsidR="00B3003C" w:rsidRPr="00C86E87">
        <w:rPr>
          <w:snapToGrid/>
          <w:szCs w:val="24"/>
        </w:rPr>
        <w:t xml:space="preserve">ld itself create uncertainty.” </w:t>
      </w:r>
      <w:r w:rsidR="00B3003C" w:rsidRPr="00C86E87">
        <w:rPr>
          <w:i/>
          <w:snapToGrid/>
          <w:szCs w:val="24"/>
        </w:rPr>
        <w:t>Id</w:t>
      </w:r>
      <w:r w:rsidR="00D31CD7" w:rsidRPr="00C86E87">
        <w:rPr>
          <w:snapToGrid/>
          <w:szCs w:val="24"/>
        </w:rPr>
        <w:t xml:space="preserve">. </w:t>
      </w:r>
      <w:proofErr w:type="spellStart"/>
      <w:r w:rsidR="00E80502" w:rsidRPr="00C86E87">
        <w:rPr>
          <w:snapToGrid/>
          <w:szCs w:val="24"/>
        </w:rPr>
        <w:t>Nimmer</w:t>
      </w:r>
      <w:proofErr w:type="spellEnd"/>
      <w:r w:rsidR="00E80502" w:rsidRPr="00C86E87">
        <w:rPr>
          <w:snapToGrid/>
          <w:szCs w:val="24"/>
        </w:rPr>
        <w:t xml:space="preserve"> imagines a claim</w:t>
      </w:r>
      <w:r w:rsidR="00000642" w:rsidRPr="00C86E87">
        <w:rPr>
          <w:snapToGrid/>
          <w:szCs w:val="24"/>
        </w:rPr>
        <w:t xml:space="preserve"> “</w:t>
      </w:r>
      <w:r w:rsidR="007A18F0" w:rsidRPr="00C86E87">
        <w:rPr>
          <w:snapToGrid/>
          <w:szCs w:val="24"/>
        </w:rPr>
        <w:t>involving parties each of whom knew of the unanimous intent among all concerned that the work for hire doctrine would apply, notwithstanding that some of the paperwork remained not fully executed until aft</w:t>
      </w:r>
      <w:r w:rsidR="00E80502" w:rsidRPr="00C86E87">
        <w:rPr>
          <w:snapToGrid/>
          <w:szCs w:val="24"/>
        </w:rPr>
        <w:t xml:space="preserve">er creation of the subject work.” </w:t>
      </w:r>
      <w:proofErr w:type="gramStart"/>
      <w:r w:rsidR="00E80502" w:rsidRPr="00C86E87">
        <w:t xml:space="preserve">1 </w:t>
      </w:r>
      <w:proofErr w:type="spellStart"/>
      <w:r w:rsidR="00E80502" w:rsidRPr="00C86E87">
        <w:rPr>
          <w:i/>
          <w:iCs/>
        </w:rPr>
        <w:t>Nimmer</w:t>
      </w:r>
      <w:proofErr w:type="spellEnd"/>
      <w:r w:rsidR="00E80502" w:rsidRPr="00C86E87">
        <w:t xml:space="preserve"> § 5.03[B][2][b] (1994).</w:t>
      </w:r>
      <w:proofErr w:type="gramEnd"/>
      <w:r w:rsidR="00E80502" w:rsidRPr="00C86E87">
        <w:t xml:space="preserve"> </w:t>
      </w:r>
      <w:proofErr w:type="spellStart"/>
      <w:r w:rsidR="00E80502" w:rsidRPr="00C86E87">
        <w:t>Nimmer</w:t>
      </w:r>
      <w:proofErr w:type="spellEnd"/>
      <w:r w:rsidR="00E80502" w:rsidRPr="00C86E87">
        <w:t xml:space="preserve"> concludes that “i</w:t>
      </w:r>
      <w:r w:rsidR="007A18F0" w:rsidRPr="00C86E87">
        <w:rPr>
          <w:snapToGrid/>
          <w:szCs w:val="24"/>
        </w:rPr>
        <w:t xml:space="preserve">n that </w:t>
      </w:r>
      <w:proofErr w:type="gramStart"/>
      <w:r w:rsidR="007A18F0" w:rsidRPr="00C86E87">
        <w:rPr>
          <w:snapToGrid/>
          <w:szCs w:val="24"/>
        </w:rPr>
        <w:t>[ ]</w:t>
      </w:r>
      <w:proofErr w:type="gramEnd"/>
      <w:r w:rsidR="007A18F0" w:rsidRPr="00C86E87">
        <w:rPr>
          <w:snapToGrid/>
          <w:szCs w:val="24"/>
        </w:rPr>
        <w:t xml:space="preserve"> circumstance, the bright line rule could frustrate the intent of the parties, and cloud rather than serve the goal of certainty.”</w:t>
      </w:r>
      <w:r w:rsidR="00E80502" w:rsidRPr="00C86E87">
        <w:rPr>
          <w:snapToGrid/>
          <w:szCs w:val="24"/>
        </w:rPr>
        <w:t xml:space="preserve"> </w:t>
      </w:r>
      <w:r w:rsidR="00E80502" w:rsidRPr="00C86E87">
        <w:rPr>
          <w:i/>
          <w:snapToGrid/>
          <w:szCs w:val="24"/>
        </w:rPr>
        <w:t xml:space="preserve">Id. </w:t>
      </w:r>
      <w:proofErr w:type="spellStart"/>
      <w:r w:rsidR="008959FC" w:rsidRPr="00C86E87">
        <w:t>Nimmer’s</w:t>
      </w:r>
      <w:proofErr w:type="spellEnd"/>
      <w:r w:rsidR="00287473" w:rsidRPr="00C86E87">
        <w:rPr>
          <w:snapToGrid/>
          <w:szCs w:val="24"/>
        </w:rPr>
        <w:t xml:space="preserve"> imaginary claim</w:t>
      </w:r>
      <w:r w:rsidR="003E34E9" w:rsidRPr="00C86E87">
        <w:rPr>
          <w:snapToGrid/>
          <w:szCs w:val="24"/>
        </w:rPr>
        <w:t xml:space="preserve"> </w:t>
      </w:r>
      <w:r w:rsidR="00E80502" w:rsidRPr="00C86E87">
        <w:rPr>
          <w:snapToGrid/>
          <w:szCs w:val="24"/>
        </w:rPr>
        <w:t>has materialized</w:t>
      </w:r>
      <w:r w:rsidR="003E34E9" w:rsidRPr="00C86E87">
        <w:rPr>
          <w:snapToGrid/>
          <w:szCs w:val="24"/>
        </w:rPr>
        <w:t xml:space="preserve"> </w:t>
      </w:r>
      <w:r w:rsidR="00E80502" w:rsidRPr="00C86E87">
        <w:rPr>
          <w:snapToGrid/>
          <w:szCs w:val="24"/>
        </w:rPr>
        <w:t>i</w:t>
      </w:r>
      <w:r w:rsidR="00B609BB" w:rsidRPr="00C86E87">
        <w:t xml:space="preserve">n the case at </w:t>
      </w:r>
      <w:r w:rsidR="00B3003C" w:rsidRPr="00C86E87">
        <w:t>bar</w:t>
      </w:r>
      <w:r w:rsidR="00E80502" w:rsidRPr="00C86E87">
        <w:t xml:space="preserve">. </w:t>
      </w:r>
      <w:r w:rsidR="00B609BB" w:rsidRPr="00C86E87">
        <w:t xml:space="preserve">Ms. Lime acknowledged that she would produce the work and that OGS would be the author and owner thereof. That is to say, </w:t>
      </w:r>
      <w:r w:rsidR="005646B9" w:rsidRPr="00C86E87">
        <w:rPr>
          <w:snapToGrid/>
          <w:szCs w:val="24"/>
        </w:rPr>
        <w:t xml:space="preserve">Ms. Lime and OGS both intended that </w:t>
      </w:r>
      <w:r w:rsidR="00DA173B" w:rsidRPr="00C86E87">
        <w:rPr>
          <w:snapToGrid/>
          <w:szCs w:val="24"/>
        </w:rPr>
        <w:t>“</w:t>
      </w:r>
      <w:r w:rsidR="005646B9" w:rsidRPr="00C86E87">
        <w:rPr>
          <w:snapToGrid/>
          <w:szCs w:val="24"/>
        </w:rPr>
        <w:t>Anticipatory Repudiation</w:t>
      </w:r>
      <w:r w:rsidR="00DA173B" w:rsidRPr="00C86E87">
        <w:rPr>
          <w:snapToGrid/>
          <w:szCs w:val="24"/>
        </w:rPr>
        <w:t>”</w:t>
      </w:r>
      <w:r w:rsidR="005646B9" w:rsidRPr="00C86E87">
        <w:rPr>
          <w:i/>
          <w:snapToGrid/>
          <w:szCs w:val="24"/>
        </w:rPr>
        <w:t xml:space="preserve"> </w:t>
      </w:r>
      <w:r w:rsidR="005646B9" w:rsidRPr="00C86E87">
        <w:rPr>
          <w:snapToGrid/>
          <w:szCs w:val="24"/>
        </w:rPr>
        <w:t xml:space="preserve">would be a work made for hire. This fact is not disputed. </w:t>
      </w:r>
      <w:r w:rsidR="0096631B" w:rsidRPr="00C86E87">
        <w:rPr>
          <w:snapToGrid/>
          <w:szCs w:val="24"/>
        </w:rPr>
        <w:t>Thus, a</w:t>
      </w:r>
      <w:r w:rsidR="005646B9" w:rsidRPr="00C86E87">
        <w:rPr>
          <w:snapToGrid/>
          <w:szCs w:val="24"/>
        </w:rPr>
        <w:t xml:space="preserve">llowing Ms. Lime to </w:t>
      </w:r>
      <w:r w:rsidR="00A45136" w:rsidRPr="00C86E87">
        <w:rPr>
          <w:snapToGrid/>
          <w:szCs w:val="24"/>
        </w:rPr>
        <w:t xml:space="preserve">claim </w:t>
      </w:r>
      <w:r w:rsidR="00B3003C" w:rsidRPr="00C86E87">
        <w:rPr>
          <w:snapToGrid/>
          <w:szCs w:val="24"/>
        </w:rPr>
        <w:t>authorship</w:t>
      </w:r>
      <w:r w:rsidR="00A45136" w:rsidRPr="00C86E87">
        <w:rPr>
          <w:snapToGrid/>
          <w:szCs w:val="24"/>
        </w:rPr>
        <w:t xml:space="preserve"> and </w:t>
      </w:r>
      <w:r w:rsidR="005646B9" w:rsidRPr="00C86E87">
        <w:rPr>
          <w:snapToGrid/>
          <w:szCs w:val="24"/>
        </w:rPr>
        <w:t>escape liability would be to ignore the unanimous intent among all</w:t>
      </w:r>
      <w:r w:rsidR="0096631B" w:rsidRPr="00C86E87">
        <w:rPr>
          <w:snapToGrid/>
          <w:szCs w:val="24"/>
        </w:rPr>
        <w:t xml:space="preserve"> parties</w:t>
      </w:r>
      <w:r w:rsidR="005646B9" w:rsidRPr="00C86E87">
        <w:rPr>
          <w:snapToGrid/>
          <w:szCs w:val="24"/>
        </w:rPr>
        <w:t xml:space="preserve"> concerned</w:t>
      </w:r>
      <w:r w:rsidR="0096631B" w:rsidRPr="00C86E87">
        <w:rPr>
          <w:snapToGrid/>
          <w:szCs w:val="24"/>
        </w:rPr>
        <w:t>. Indeed, reading a timing requirement into the Copyright Act would enable</w:t>
      </w:r>
      <w:r w:rsidR="005646B9" w:rsidRPr="00C86E87">
        <w:rPr>
          <w:snapToGrid/>
          <w:szCs w:val="24"/>
        </w:rPr>
        <w:t xml:space="preserve"> </w:t>
      </w:r>
      <w:r w:rsidR="0096631B" w:rsidRPr="00C86E87">
        <w:rPr>
          <w:snapToGrid/>
          <w:szCs w:val="24"/>
        </w:rPr>
        <w:t>Ms. Lime</w:t>
      </w:r>
      <w:r w:rsidR="005646B9" w:rsidRPr="00C86E87">
        <w:rPr>
          <w:snapToGrid/>
          <w:szCs w:val="24"/>
        </w:rPr>
        <w:t xml:space="preserve"> to get off on a mere technicality – a technicality that, as this brief has hopefully convinced the court, do</w:t>
      </w:r>
      <w:r w:rsidR="00D15B07" w:rsidRPr="00C86E87">
        <w:rPr>
          <w:snapToGrid/>
          <w:szCs w:val="24"/>
        </w:rPr>
        <w:t>es not even exist</w:t>
      </w:r>
      <w:r w:rsidR="00626867" w:rsidRPr="00C86E87">
        <w:rPr>
          <w:snapToGrid/>
          <w:szCs w:val="24"/>
        </w:rPr>
        <w:t>.</w:t>
      </w:r>
      <w:r w:rsidR="00215253" w:rsidRPr="00C86E87">
        <w:rPr>
          <w:snapToGrid/>
          <w:szCs w:val="24"/>
        </w:rPr>
        <w:t xml:space="preserve"> </w:t>
      </w:r>
      <w:r w:rsidR="00C57423" w:rsidRPr="00C86E87">
        <w:rPr>
          <w:snapToGrid/>
          <w:szCs w:val="24"/>
        </w:rPr>
        <w:t xml:space="preserve">As a matter of policy, the Court should </w:t>
      </w:r>
      <w:r w:rsidR="001F760C" w:rsidRPr="00C86E87">
        <w:rPr>
          <w:snapToGrid/>
          <w:szCs w:val="24"/>
        </w:rPr>
        <w:t xml:space="preserve">resist Defendants’ urge to create a loophole, and should instead </w:t>
      </w:r>
      <w:r w:rsidR="00C57423" w:rsidRPr="00C86E87">
        <w:rPr>
          <w:snapToGrid/>
          <w:szCs w:val="24"/>
        </w:rPr>
        <w:t>adopt a rule that gives effec</w:t>
      </w:r>
      <w:r w:rsidR="001F760C" w:rsidRPr="00C86E87">
        <w:rPr>
          <w:snapToGrid/>
          <w:szCs w:val="24"/>
        </w:rPr>
        <w:t>t to the intent of the parties.</w:t>
      </w:r>
    </w:p>
    <w:p w14:paraId="7EA7C8AE" w14:textId="77777777" w:rsidR="00E3255E" w:rsidRPr="00C86E87" w:rsidRDefault="00E3255E" w:rsidP="003B7419">
      <w:pPr>
        <w:spacing w:after="240" w:line="480" w:lineRule="auto"/>
        <w:ind w:firstLine="720"/>
        <w:contextualSpacing/>
        <w:jc w:val="both"/>
        <w:rPr>
          <w:snapToGrid/>
          <w:szCs w:val="24"/>
        </w:rPr>
      </w:pPr>
      <w:r w:rsidRPr="00C86E87">
        <w:rPr>
          <w:snapToGrid/>
          <w:szCs w:val="24"/>
        </w:rPr>
        <w:t xml:space="preserve">Other courts have already decided that the Second Circuit’s rule is superior. The exact </w:t>
      </w:r>
      <w:r w:rsidR="00EC618A" w:rsidRPr="00C86E87">
        <w:rPr>
          <w:snapToGrid/>
          <w:szCs w:val="24"/>
        </w:rPr>
        <w:t xml:space="preserve">legal </w:t>
      </w:r>
      <w:r w:rsidRPr="00C86E87">
        <w:rPr>
          <w:snapToGrid/>
          <w:szCs w:val="24"/>
        </w:rPr>
        <w:t xml:space="preserve">issue at bar was already considered in </w:t>
      </w:r>
      <w:r w:rsidRPr="00C86E87">
        <w:rPr>
          <w:rStyle w:val="groupheading"/>
          <w:i/>
          <w:szCs w:val="24"/>
        </w:rPr>
        <w:t xml:space="preserve">Compaq Computer Corp. v. </w:t>
      </w:r>
      <w:proofErr w:type="spellStart"/>
      <w:r w:rsidRPr="00C86E87">
        <w:rPr>
          <w:rStyle w:val="groupheading"/>
          <w:i/>
          <w:szCs w:val="24"/>
        </w:rPr>
        <w:t>Ergonome</w:t>
      </w:r>
      <w:proofErr w:type="spellEnd"/>
      <w:r w:rsidRPr="00C86E87">
        <w:rPr>
          <w:rStyle w:val="groupheading"/>
          <w:i/>
          <w:szCs w:val="24"/>
        </w:rPr>
        <w:t xml:space="preserve"> Inc.,</w:t>
      </w:r>
      <w:r w:rsidRPr="00C86E87">
        <w:rPr>
          <w:szCs w:val="24"/>
        </w:rPr>
        <w:t xml:space="preserve"> </w:t>
      </w:r>
      <w:r w:rsidRPr="00C86E87">
        <w:rPr>
          <w:rStyle w:val="informationalsmall"/>
          <w:szCs w:val="24"/>
        </w:rPr>
        <w:t>210 F.Supp.2d 839 (</w:t>
      </w:r>
      <w:r w:rsidR="00DF5CF5" w:rsidRPr="00C86E87">
        <w:rPr>
          <w:snapToGrid/>
          <w:szCs w:val="24"/>
        </w:rPr>
        <w:t xml:space="preserve">S.D. Tex. </w:t>
      </w:r>
      <w:r w:rsidR="003B7419" w:rsidRPr="00C86E87">
        <w:rPr>
          <w:rStyle w:val="informationalsmall"/>
          <w:szCs w:val="24"/>
        </w:rPr>
        <w:t>2001). That c</w:t>
      </w:r>
      <w:r w:rsidRPr="00C86E87">
        <w:rPr>
          <w:rStyle w:val="informationalsmall"/>
          <w:szCs w:val="24"/>
        </w:rPr>
        <w:t>ourt, looking to Fifth Circuit precedent, noted “</w:t>
      </w:r>
      <w:r w:rsidRPr="00C86E87">
        <w:t xml:space="preserve">that the Fifth Circuit has deemed the Second Circuit to be the </w:t>
      </w:r>
      <w:r w:rsidRPr="00C86E87">
        <w:rPr>
          <w:i/>
          <w:iCs/>
        </w:rPr>
        <w:t>de facto</w:t>
      </w:r>
      <w:r w:rsidRPr="00C86E87">
        <w:t xml:space="preserve"> Copyright Court of the United States…and, as such, the Second Circuit exerts particular persuasion in matters of copyright.” </w:t>
      </w:r>
      <w:r w:rsidRPr="00C86E87">
        <w:rPr>
          <w:i/>
        </w:rPr>
        <w:t>Id.</w:t>
      </w:r>
      <w:r w:rsidRPr="00C86E87">
        <w:t xml:space="preserve"> at 843</w:t>
      </w:r>
      <w:r w:rsidR="00C62932" w:rsidRPr="00C86E87">
        <w:t>;</w:t>
      </w:r>
      <w:r w:rsidRPr="00C86E87">
        <w:t xml:space="preserve"> </w:t>
      </w:r>
      <w:r w:rsidR="00C62932" w:rsidRPr="00C86E87">
        <w:rPr>
          <w:i/>
        </w:rPr>
        <w:t>s</w:t>
      </w:r>
      <w:r w:rsidRPr="00C86E87">
        <w:rPr>
          <w:i/>
        </w:rPr>
        <w:t>ee also</w:t>
      </w:r>
      <w:r w:rsidRPr="00C86E87">
        <w:t xml:space="preserve"> </w:t>
      </w:r>
      <w:r w:rsidRPr="00C86E87">
        <w:rPr>
          <w:i/>
          <w:iCs/>
        </w:rPr>
        <w:t>Easter Seal Soc. for Crippled Children and Adults of Louisiana, Inc. v. Playboy Enter</w:t>
      </w:r>
      <w:proofErr w:type="gramStart"/>
      <w:r w:rsidRPr="00C86E87">
        <w:rPr>
          <w:i/>
          <w:iCs/>
        </w:rPr>
        <w:t>.,</w:t>
      </w:r>
      <w:proofErr w:type="gramEnd"/>
      <w:r w:rsidR="0092091F" w:rsidRPr="00C86E87">
        <w:t xml:space="preserve"> 815 F.2d 323, 325 (5th Cir. </w:t>
      </w:r>
      <w:r w:rsidRPr="00C86E87">
        <w:t>1987)</w:t>
      </w:r>
      <w:r w:rsidR="00DF5CF5" w:rsidRPr="00C86E87">
        <w:t xml:space="preserve">; </w:t>
      </w:r>
      <w:r w:rsidR="00DF5CF5" w:rsidRPr="00C86E87">
        <w:rPr>
          <w:i/>
          <w:snapToGrid/>
          <w:szCs w:val="24"/>
        </w:rPr>
        <w:t>TMTV, Corp. v. Mass Productions, Inc.</w:t>
      </w:r>
      <w:r w:rsidR="00DF5CF5" w:rsidRPr="00C86E87">
        <w:rPr>
          <w:snapToGrid/>
          <w:szCs w:val="24"/>
        </w:rPr>
        <w:t xml:space="preserve">, 345 F. Supp. </w:t>
      </w:r>
      <w:r w:rsidR="00DF5CF5" w:rsidRPr="00C86E87">
        <w:rPr>
          <w:snapToGrid/>
          <w:szCs w:val="24"/>
        </w:rPr>
        <w:lastRenderedPageBreak/>
        <w:t xml:space="preserve">2d 196, 206 (D.P.R. 2004) </w:t>
      </w:r>
      <w:proofErr w:type="spellStart"/>
      <w:r w:rsidR="00DF5CF5" w:rsidRPr="00C86E87">
        <w:rPr>
          <w:i/>
          <w:snapToGrid/>
          <w:szCs w:val="24"/>
        </w:rPr>
        <w:t>aff'd</w:t>
      </w:r>
      <w:proofErr w:type="spellEnd"/>
      <w:r w:rsidR="00DF5CF5" w:rsidRPr="00C86E87">
        <w:rPr>
          <w:snapToGrid/>
          <w:szCs w:val="24"/>
        </w:rPr>
        <w:t>, 645 F.3d 464 (1st Cir. 2011)</w:t>
      </w:r>
      <w:r w:rsidRPr="00C86E87">
        <w:t xml:space="preserve">. The respect afforded to the Second Circuit’s decisions regarding copyright law stems chiefly from the volume of cases on that subject that the Second Circuit has decided over the years. </w:t>
      </w:r>
      <w:r w:rsidRPr="00C86E87">
        <w:rPr>
          <w:i/>
        </w:rPr>
        <w:t xml:space="preserve">See </w:t>
      </w:r>
      <w:r w:rsidR="003B7419" w:rsidRPr="00C86E87">
        <w:rPr>
          <w:i/>
        </w:rPr>
        <w:t>Compaq,</w:t>
      </w:r>
      <w:r w:rsidR="003B7419" w:rsidRPr="00C86E87">
        <w:rPr>
          <w:rStyle w:val="informationalsmall"/>
          <w:szCs w:val="24"/>
        </w:rPr>
        <w:t xml:space="preserve"> 210 F.Supp.2d </w:t>
      </w:r>
      <w:r w:rsidR="0079059D" w:rsidRPr="00C86E87">
        <w:rPr>
          <w:rStyle w:val="informationalsmall"/>
          <w:szCs w:val="24"/>
        </w:rPr>
        <w:t xml:space="preserve">at </w:t>
      </w:r>
      <w:r w:rsidR="003B7419" w:rsidRPr="00C86E87">
        <w:rPr>
          <w:rStyle w:val="informationalsmall"/>
          <w:szCs w:val="24"/>
        </w:rPr>
        <w:t>843</w:t>
      </w:r>
      <w:r w:rsidRPr="00C86E87">
        <w:rPr>
          <w:i/>
        </w:rPr>
        <w:t xml:space="preserve">.  </w:t>
      </w:r>
      <w:r w:rsidRPr="00C86E87">
        <w:t xml:space="preserve">The court adopted the rule from </w:t>
      </w:r>
      <w:r w:rsidRPr="00C86E87">
        <w:rPr>
          <w:i/>
        </w:rPr>
        <w:t xml:space="preserve">Playboy, </w:t>
      </w:r>
      <w:r w:rsidRPr="00C86E87">
        <w:rPr>
          <w:rStyle w:val="informationalsmall"/>
          <w:szCs w:val="24"/>
        </w:rPr>
        <w:t>53 F.3d 549</w:t>
      </w:r>
      <w:r w:rsidRPr="00C86E87">
        <w:t xml:space="preserve">, </w:t>
      </w:r>
      <w:proofErr w:type="gramStart"/>
      <w:r w:rsidRPr="00C86E87">
        <w:t>finding</w:t>
      </w:r>
      <w:proofErr w:type="gramEnd"/>
      <w:r w:rsidRPr="00C86E87">
        <w:t xml:space="preserve"> “that the Second Circuit's rule appropriately allows for a flexible, case-by-case inquiry into the existence of a work-for-hire agreement.” </w:t>
      </w:r>
      <w:proofErr w:type="gramStart"/>
      <w:r w:rsidRPr="00C86E87">
        <w:rPr>
          <w:i/>
        </w:rPr>
        <w:t xml:space="preserve">Compaq, </w:t>
      </w:r>
      <w:r w:rsidRPr="00C86E87">
        <w:rPr>
          <w:rStyle w:val="informationalsmall"/>
          <w:szCs w:val="24"/>
        </w:rPr>
        <w:t>210 F.Supp.2d 839</w:t>
      </w:r>
      <w:r w:rsidRPr="00C86E87">
        <w:rPr>
          <w:i/>
        </w:rPr>
        <w:t xml:space="preserve"> </w:t>
      </w:r>
      <w:r w:rsidRPr="00C86E87">
        <w:t>at 843</w:t>
      </w:r>
      <w:r w:rsidRPr="00C86E87">
        <w:rPr>
          <w:i/>
        </w:rPr>
        <w:t>.</w:t>
      </w:r>
      <w:proofErr w:type="gramEnd"/>
      <w:r w:rsidRPr="00C86E87">
        <w:t xml:space="preserve"> This Court would be wise to join the majority of other courts in accepting the Second Circuit’</w:t>
      </w:r>
      <w:r w:rsidR="005B4804" w:rsidRPr="00C86E87">
        <w:t>s rule.</w:t>
      </w:r>
    </w:p>
    <w:p w14:paraId="05CAB1D4" w14:textId="77777777" w:rsidR="00917A90" w:rsidRPr="00C86E87" w:rsidRDefault="001E49D0" w:rsidP="00DF5CF5">
      <w:pPr>
        <w:widowControl/>
        <w:spacing w:line="480" w:lineRule="auto"/>
        <w:ind w:firstLine="720"/>
        <w:contextualSpacing/>
        <w:jc w:val="both"/>
        <w:rPr>
          <w:snapToGrid/>
          <w:szCs w:val="24"/>
        </w:rPr>
      </w:pPr>
      <w:r w:rsidRPr="00C86E87">
        <w:rPr>
          <w:snapToGrid/>
          <w:szCs w:val="24"/>
        </w:rPr>
        <w:t>Respect for</w:t>
      </w:r>
      <w:r w:rsidR="00525B8E" w:rsidRPr="00C86E87">
        <w:rPr>
          <w:snapToGrid/>
          <w:szCs w:val="24"/>
        </w:rPr>
        <w:t xml:space="preserve"> the will of the parties finds its roots deep in common law. </w:t>
      </w:r>
      <w:proofErr w:type="gramStart"/>
      <w:r w:rsidR="00525B8E" w:rsidRPr="00C86E87">
        <w:rPr>
          <w:i/>
          <w:snapToGrid/>
          <w:szCs w:val="24"/>
        </w:rPr>
        <w:t>See, e.g.</w:t>
      </w:r>
      <w:r w:rsidR="006068A6" w:rsidRPr="00C86E87">
        <w:rPr>
          <w:i/>
          <w:snapToGrid/>
          <w:szCs w:val="24"/>
        </w:rPr>
        <w:t>,</w:t>
      </w:r>
      <w:r w:rsidR="00525B8E" w:rsidRPr="00C86E87">
        <w:rPr>
          <w:snapToGrid/>
          <w:szCs w:val="24"/>
        </w:rPr>
        <w:t xml:space="preserve"> </w:t>
      </w:r>
      <w:r w:rsidR="00FB46D9" w:rsidRPr="00C86E87">
        <w:rPr>
          <w:i/>
          <w:snapToGrid/>
          <w:szCs w:val="24"/>
        </w:rPr>
        <w:t xml:space="preserve">Wood v Lucy, Lady Duff Gordon, </w:t>
      </w:r>
      <w:r w:rsidRPr="00C86E87">
        <w:rPr>
          <w:szCs w:val="24"/>
        </w:rPr>
        <w:t xml:space="preserve">222 N.Y. </w:t>
      </w:r>
      <w:r w:rsidR="0079059D" w:rsidRPr="00C86E87">
        <w:rPr>
          <w:szCs w:val="24"/>
        </w:rPr>
        <w:t>88,</w:t>
      </w:r>
      <w:r w:rsidR="00FB46D9" w:rsidRPr="00C86E87">
        <w:rPr>
          <w:szCs w:val="24"/>
        </w:rPr>
        <w:t xml:space="preserve"> </w:t>
      </w:r>
      <w:r w:rsidRPr="00C86E87">
        <w:rPr>
          <w:szCs w:val="24"/>
        </w:rPr>
        <w:t>91</w:t>
      </w:r>
      <w:r w:rsidR="00525B8E" w:rsidRPr="00C86E87">
        <w:rPr>
          <w:snapToGrid/>
          <w:szCs w:val="24"/>
        </w:rPr>
        <w:t xml:space="preserve"> </w:t>
      </w:r>
      <w:r w:rsidR="00FB46D9" w:rsidRPr="00C86E87">
        <w:rPr>
          <w:snapToGrid/>
          <w:szCs w:val="24"/>
        </w:rPr>
        <w:t>(</w:t>
      </w:r>
      <w:r w:rsidR="006D0A6A" w:rsidRPr="00C86E87">
        <w:rPr>
          <w:snapToGrid/>
          <w:szCs w:val="24"/>
        </w:rPr>
        <w:t xml:space="preserve">N.Y. </w:t>
      </w:r>
      <w:r w:rsidR="00FB46D9" w:rsidRPr="00C86E87">
        <w:rPr>
          <w:snapToGrid/>
          <w:szCs w:val="24"/>
        </w:rPr>
        <w:t xml:space="preserve">1917) </w:t>
      </w:r>
      <w:r w:rsidR="00525B8E" w:rsidRPr="00C86E87">
        <w:rPr>
          <w:snapToGrid/>
          <w:szCs w:val="24"/>
        </w:rPr>
        <w:t>(“</w:t>
      </w:r>
      <w:r w:rsidRPr="00C86E87">
        <w:rPr>
          <w:szCs w:val="24"/>
        </w:rPr>
        <w:t>We are not to suppose that one party was to be placed at the mercy of the other.</w:t>
      </w:r>
      <w:r w:rsidR="001C1E6F" w:rsidRPr="00C86E87">
        <w:rPr>
          <w:snapToGrid/>
          <w:szCs w:val="24"/>
        </w:rPr>
        <w:t>”)</w:t>
      </w:r>
      <w:r w:rsidR="006068A6" w:rsidRPr="00C86E87">
        <w:rPr>
          <w:snapToGrid/>
          <w:szCs w:val="24"/>
        </w:rPr>
        <w:t>.</w:t>
      </w:r>
      <w:proofErr w:type="gramEnd"/>
      <w:r w:rsidR="001C1E6F" w:rsidRPr="00C86E87">
        <w:rPr>
          <w:snapToGrid/>
          <w:szCs w:val="24"/>
        </w:rPr>
        <w:t xml:space="preserve"> </w:t>
      </w:r>
      <w:r w:rsidRPr="00C86E87">
        <w:rPr>
          <w:snapToGrid/>
          <w:szCs w:val="24"/>
        </w:rPr>
        <w:t xml:space="preserve">While the canons of statutory interpretation and the concept of implied terms in a contract normally have little to do with one another, the court would be wise in any instance to choose an interpretation that gives efficacy to the will of the parties. </w:t>
      </w:r>
      <w:r w:rsidR="00525B8E" w:rsidRPr="00C86E87">
        <w:rPr>
          <w:snapToGrid/>
          <w:szCs w:val="24"/>
        </w:rPr>
        <w:t>As a matter of policy, the court should not read the Copyright Act in such a way as to confound the intent of two parties who negotiate a contract in good faith. The court should be especially reluctant to impute an imaginary term into the Act that would have such an effect</w:t>
      </w:r>
      <w:r w:rsidR="00FB63BE" w:rsidRPr="00C86E87">
        <w:rPr>
          <w:snapToGrid/>
          <w:szCs w:val="24"/>
        </w:rPr>
        <w:t>.</w:t>
      </w:r>
    </w:p>
    <w:p w14:paraId="4C14B3CF" w14:textId="77777777" w:rsidR="00E57532" w:rsidRPr="00C86E87" w:rsidRDefault="00E57532" w:rsidP="00E57532">
      <w:pPr>
        <w:widowControl/>
        <w:spacing w:line="480" w:lineRule="auto"/>
        <w:ind w:firstLine="720"/>
        <w:contextualSpacing/>
        <w:jc w:val="both"/>
        <w:rPr>
          <w:snapToGrid/>
          <w:szCs w:val="24"/>
        </w:rPr>
      </w:pPr>
    </w:p>
    <w:p w14:paraId="5142E2F7" w14:textId="77777777" w:rsidR="008A36B3" w:rsidRPr="00B176F4" w:rsidRDefault="00284076" w:rsidP="00951AA7">
      <w:pPr>
        <w:pStyle w:val="Heading2"/>
        <w:spacing w:line="480" w:lineRule="auto"/>
        <w:contextualSpacing/>
        <w:rPr>
          <w:u w:val="single"/>
        </w:rPr>
      </w:pPr>
      <w:r w:rsidRPr="00B176F4">
        <w:rPr>
          <w:u w:val="single"/>
        </w:rPr>
        <w:t>CONCLUSION</w:t>
      </w:r>
    </w:p>
    <w:p w14:paraId="0E0A049C" w14:textId="77777777" w:rsidR="00FB63BE" w:rsidRPr="00C86E87" w:rsidRDefault="00FB63BE" w:rsidP="00951AA7">
      <w:pPr>
        <w:contextualSpacing/>
      </w:pPr>
    </w:p>
    <w:p w14:paraId="315F9736" w14:textId="77777777" w:rsidR="00742AB6" w:rsidRPr="00C86E87" w:rsidRDefault="00A61F83" w:rsidP="00934A11">
      <w:pPr>
        <w:spacing w:line="480" w:lineRule="auto"/>
        <w:contextualSpacing/>
        <w:jc w:val="both"/>
      </w:pPr>
      <w:r w:rsidRPr="00C86E87">
        <w:tab/>
        <w:t xml:space="preserve">In a work-for-hire agreement, the written instrument </w:t>
      </w:r>
      <w:r w:rsidR="00FB63BE" w:rsidRPr="00C86E87">
        <w:t xml:space="preserve">required by the Copyright Act of 1976 does not need to precede the creation of the work. This conclusion is based primarily on the plain language of the statute, and is corroborated by </w:t>
      </w:r>
      <w:r w:rsidR="00760556" w:rsidRPr="00C86E87">
        <w:t>inferences from its</w:t>
      </w:r>
      <w:r w:rsidR="00FB63BE" w:rsidRPr="00C86E87">
        <w:t xml:space="preserve"> legislative history and influential case law precedent. </w:t>
      </w:r>
      <w:r w:rsidR="00610E21" w:rsidRPr="00C86E87">
        <w:t xml:space="preserve">Ms. Lime was, thus, not the author or owner of the screenplay entitled </w:t>
      </w:r>
      <w:r w:rsidR="00DA173B" w:rsidRPr="00C86E87">
        <w:t>“</w:t>
      </w:r>
      <w:r w:rsidR="00610E21" w:rsidRPr="00C86E87">
        <w:t>Anticipatory Repudiation</w:t>
      </w:r>
      <w:r w:rsidR="00DA173B" w:rsidRPr="00C86E87">
        <w:t>”</w:t>
      </w:r>
      <w:r w:rsidR="00610E21" w:rsidRPr="00C86E87">
        <w:t xml:space="preserve"> and had no right </w:t>
      </w:r>
      <w:r w:rsidR="005E0916" w:rsidRPr="00C86E87">
        <w:t>sell it to or produce it with</w:t>
      </w:r>
      <w:r w:rsidR="00610E21" w:rsidRPr="00C86E87">
        <w:t xml:space="preserve"> </w:t>
      </w:r>
      <w:proofErr w:type="spellStart"/>
      <w:r w:rsidR="00610E21" w:rsidRPr="00C86E87">
        <w:t>TinyTV</w:t>
      </w:r>
      <w:proofErr w:type="spellEnd"/>
      <w:r w:rsidR="00610E21" w:rsidRPr="00C86E87">
        <w:t xml:space="preserve">. </w:t>
      </w:r>
      <w:r w:rsidR="009A0913" w:rsidRPr="00C86E87">
        <w:t xml:space="preserve">Accordingly, </w:t>
      </w:r>
      <w:r w:rsidR="005E0916" w:rsidRPr="00C86E87">
        <w:t>t</w:t>
      </w:r>
      <w:r w:rsidR="00610E21" w:rsidRPr="00C86E87">
        <w:t xml:space="preserve">he Court should </w:t>
      </w:r>
      <w:r w:rsidR="00A2334D" w:rsidRPr="00C86E87">
        <w:t>deny D</w:t>
      </w:r>
      <w:r w:rsidR="00560584" w:rsidRPr="00C86E87">
        <w:t>efendants’</w:t>
      </w:r>
      <w:r w:rsidR="000F13BB" w:rsidRPr="00C86E87">
        <w:t xml:space="preserve"> motion to dismiss</w:t>
      </w:r>
      <w:r w:rsidR="00610E21" w:rsidRPr="00C86E87">
        <w:t>.</w:t>
      </w:r>
    </w:p>
    <w:p w14:paraId="3B38B17C" w14:textId="77777777" w:rsidR="00C34D29" w:rsidRPr="00C86E87" w:rsidRDefault="00C34D29" w:rsidP="00934A11">
      <w:pPr>
        <w:spacing w:line="480" w:lineRule="auto"/>
        <w:contextualSpacing/>
        <w:jc w:val="both"/>
      </w:pPr>
    </w:p>
    <w:p w14:paraId="08FDA4BD" w14:textId="77777777" w:rsidR="00742AB6" w:rsidRPr="00C86E87" w:rsidRDefault="00742AB6" w:rsidP="00934A11">
      <w:pPr>
        <w:spacing w:line="480" w:lineRule="auto"/>
        <w:contextualSpacing/>
        <w:jc w:val="both"/>
      </w:pPr>
    </w:p>
    <w:p w14:paraId="05A58D1A" w14:textId="77777777" w:rsidR="00284076" w:rsidRPr="00C86E87" w:rsidRDefault="00284076" w:rsidP="00951AA7">
      <w:pPr>
        <w:contextualSpacing/>
        <w:jc w:val="both"/>
      </w:pPr>
      <w:r w:rsidRPr="00C86E87">
        <w:t>Dated:  _______</w:t>
      </w:r>
      <w:r w:rsidR="009A43A6" w:rsidRPr="00C86E87">
        <w:rPr>
          <w:u w:val="single"/>
        </w:rPr>
        <w:t>3/1/12</w:t>
      </w:r>
      <w:r w:rsidRPr="00C86E87">
        <w:t>________</w:t>
      </w:r>
      <w:r w:rsidRPr="00C86E87">
        <w:tab/>
      </w:r>
      <w:r w:rsidRPr="00C86E87">
        <w:tab/>
      </w:r>
      <w:r w:rsidRPr="00C86E87">
        <w:tab/>
      </w:r>
      <w:r w:rsidRPr="00C86E87">
        <w:tab/>
        <w:t>Respectfully submitted,</w:t>
      </w:r>
    </w:p>
    <w:p w14:paraId="3B22D8E4" w14:textId="77777777" w:rsidR="00C17802" w:rsidRPr="00C86E87" w:rsidRDefault="00C32EC6" w:rsidP="00951AA7">
      <w:pPr>
        <w:pStyle w:val="Normal1"/>
        <w:spacing w:line="240" w:lineRule="atLeast"/>
        <w:ind w:left="100" w:firstLine="5760"/>
        <w:contextualSpacing/>
        <w:rPr>
          <w:rFonts w:ascii="Vladimir Script" w:hAnsi="Vladimir Script"/>
          <w:sz w:val="32"/>
          <w:szCs w:val="32"/>
        </w:rPr>
      </w:pPr>
      <w:r>
        <w:t>&lt;redacted&gt;&lt;/redacted&gt;</w:t>
      </w:r>
      <w:bookmarkStart w:id="3" w:name="_GoBack"/>
      <w:bookmarkEnd w:id="3"/>
      <w:r w:rsidR="00C17802" w:rsidRPr="00C86E87">
        <w:rPr>
          <w:rFonts w:ascii="Vladimir Script" w:hAnsi="Vladimir Script"/>
          <w:sz w:val="40"/>
          <w:szCs w:val="32"/>
        </w:rPr>
        <w:t xml:space="preserve">   </w:t>
      </w:r>
    </w:p>
    <w:p w14:paraId="42E77061" w14:textId="77777777" w:rsidR="00A75E7B" w:rsidRDefault="00AA2EBB" w:rsidP="00F54368">
      <w:pPr>
        <w:pStyle w:val="Normal1"/>
        <w:spacing w:line="240" w:lineRule="atLeast"/>
        <w:ind w:left="100" w:firstLine="5760"/>
        <w:contextualSpacing/>
      </w:pPr>
      <w:r w:rsidRPr="00C86E87">
        <w:t>Attorney for Plaintiff</w:t>
      </w:r>
    </w:p>
    <w:p w14:paraId="43CF1301" w14:textId="77777777" w:rsidR="00DF5CF5" w:rsidRDefault="00DF5CF5" w:rsidP="00F54368">
      <w:pPr>
        <w:pStyle w:val="Normal1"/>
        <w:spacing w:line="240" w:lineRule="atLeast"/>
        <w:ind w:left="100" w:firstLine="5760"/>
        <w:contextualSpacing/>
      </w:pPr>
    </w:p>
    <w:p w14:paraId="7A18D810" w14:textId="77777777" w:rsidR="00DF5CF5" w:rsidRDefault="00DF5CF5" w:rsidP="00F54368">
      <w:pPr>
        <w:pStyle w:val="Normal1"/>
        <w:spacing w:line="240" w:lineRule="atLeast"/>
        <w:ind w:left="100" w:firstLine="5760"/>
        <w:contextualSpacing/>
      </w:pPr>
    </w:p>
    <w:p w14:paraId="2625E1B0" w14:textId="77777777" w:rsidR="00DF5CF5" w:rsidRDefault="00DF5CF5" w:rsidP="00F54368">
      <w:pPr>
        <w:pStyle w:val="Normal1"/>
        <w:spacing w:line="240" w:lineRule="atLeast"/>
        <w:ind w:left="100" w:firstLine="5760"/>
        <w:contextualSpacing/>
      </w:pPr>
    </w:p>
    <w:p w14:paraId="164FEACA" w14:textId="77777777" w:rsidR="00DF5CF5" w:rsidRDefault="00DF5CF5" w:rsidP="00F54368">
      <w:pPr>
        <w:pStyle w:val="Normal1"/>
        <w:spacing w:line="240" w:lineRule="atLeast"/>
        <w:ind w:left="100" w:firstLine="5760"/>
        <w:contextualSpacing/>
      </w:pPr>
    </w:p>
    <w:p w14:paraId="12EF16A9" w14:textId="77777777" w:rsidR="00DF5CF5" w:rsidRDefault="00DF5CF5" w:rsidP="00F54368">
      <w:pPr>
        <w:pStyle w:val="Normal1"/>
        <w:spacing w:line="240" w:lineRule="atLeast"/>
        <w:ind w:left="100" w:firstLine="5760"/>
        <w:contextualSpacing/>
      </w:pPr>
    </w:p>
    <w:p w14:paraId="79450B9C" w14:textId="77777777" w:rsidR="00DF5CF5" w:rsidRDefault="00DF5CF5" w:rsidP="00F54368">
      <w:pPr>
        <w:pStyle w:val="Normal1"/>
        <w:spacing w:line="240" w:lineRule="atLeast"/>
        <w:ind w:left="100" w:firstLine="5760"/>
        <w:contextualSpacing/>
      </w:pPr>
    </w:p>
    <w:sectPr w:rsidR="00DF5CF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AC109" w14:textId="77777777" w:rsidR="00C8539D" w:rsidRDefault="00C8539D" w:rsidP="00576051">
      <w:r>
        <w:separator/>
      </w:r>
    </w:p>
  </w:endnote>
  <w:endnote w:type="continuationSeparator" w:id="0">
    <w:p w14:paraId="231D2FC8" w14:textId="77777777" w:rsidR="00C8539D" w:rsidRDefault="00C8539D" w:rsidP="0057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Vladimir Script">
    <w:altName w:val="Zapfino"/>
    <w:charset w:val="00"/>
    <w:family w:val="script"/>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3781469"/>
      <w:docPartObj>
        <w:docPartGallery w:val="Page Numbers (Bottom of Page)"/>
        <w:docPartUnique/>
      </w:docPartObj>
    </w:sdtPr>
    <w:sdtEndPr>
      <w:rPr>
        <w:noProof/>
      </w:rPr>
    </w:sdtEndPr>
    <w:sdtContent>
      <w:p w14:paraId="7ED10059" w14:textId="77777777" w:rsidR="002139CB" w:rsidRDefault="002139CB">
        <w:pPr>
          <w:pStyle w:val="Footer"/>
          <w:jc w:val="center"/>
        </w:pPr>
        <w:r>
          <w:fldChar w:fldCharType="begin"/>
        </w:r>
        <w:r>
          <w:instrText xml:space="preserve"> PAGE   \* MERGEFORMAT </w:instrText>
        </w:r>
        <w:r>
          <w:fldChar w:fldCharType="separate"/>
        </w:r>
        <w:r w:rsidR="00C32EC6">
          <w:rPr>
            <w:noProof/>
          </w:rPr>
          <w:t>13</w:t>
        </w:r>
        <w:r>
          <w:rPr>
            <w:noProof/>
          </w:rPr>
          <w:fldChar w:fldCharType="end"/>
        </w:r>
      </w:p>
    </w:sdtContent>
  </w:sdt>
  <w:p w14:paraId="330741DB" w14:textId="77777777" w:rsidR="002139CB" w:rsidRDefault="002139C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B650B" w14:textId="77777777" w:rsidR="00C8539D" w:rsidRDefault="00C8539D" w:rsidP="00576051">
      <w:r>
        <w:separator/>
      </w:r>
    </w:p>
  </w:footnote>
  <w:footnote w:type="continuationSeparator" w:id="0">
    <w:p w14:paraId="40F5BE34" w14:textId="77777777" w:rsidR="00C8539D" w:rsidRDefault="00C8539D" w:rsidP="0057605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B7FC0"/>
    <w:multiLevelType w:val="hybridMultilevel"/>
    <w:tmpl w:val="C6C63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BE70BC"/>
    <w:multiLevelType w:val="hybridMultilevel"/>
    <w:tmpl w:val="E61E932E"/>
    <w:lvl w:ilvl="0" w:tplc="AD70262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EF36872"/>
    <w:multiLevelType w:val="hybridMultilevel"/>
    <w:tmpl w:val="A9966A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2218FE"/>
    <w:multiLevelType w:val="hybridMultilevel"/>
    <w:tmpl w:val="707220AA"/>
    <w:lvl w:ilvl="0" w:tplc="F844CFB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7F996AC8"/>
    <w:multiLevelType w:val="hybridMultilevel"/>
    <w:tmpl w:val="B9104376"/>
    <w:lvl w:ilvl="0" w:tplc="5B4855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076"/>
    <w:rsid w:val="00000642"/>
    <w:rsid w:val="00007D42"/>
    <w:rsid w:val="00016F6F"/>
    <w:rsid w:val="00025A81"/>
    <w:rsid w:val="000654F2"/>
    <w:rsid w:val="00097645"/>
    <w:rsid w:val="000A4B13"/>
    <w:rsid w:val="000A75A4"/>
    <w:rsid w:val="000B1745"/>
    <w:rsid w:val="000B6D66"/>
    <w:rsid w:val="000C190B"/>
    <w:rsid w:val="000C5258"/>
    <w:rsid w:val="000C5412"/>
    <w:rsid w:val="000D2892"/>
    <w:rsid w:val="000D4BB7"/>
    <w:rsid w:val="000D728C"/>
    <w:rsid w:val="000F13BB"/>
    <w:rsid w:val="000F50DB"/>
    <w:rsid w:val="00101F54"/>
    <w:rsid w:val="00117184"/>
    <w:rsid w:val="00137933"/>
    <w:rsid w:val="00153A7B"/>
    <w:rsid w:val="00166834"/>
    <w:rsid w:val="00174721"/>
    <w:rsid w:val="001826CE"/>
    <w:rsid w:val="001B12F6"/>
    <w:rsid w:val="001B4AC7"/>
    <w:rsid w:val="001C1E6F"/>
    <w:rsid w:val="001D6C1A"/>
    <w:rsid w:val="001E49D0"/>
    <w:rsid w:val="001F4A1F"/>
    <w:rsid w:val="001F760C"/>
    <w:rsid w:val="00200381"/>
    <w:rsid w:val="002112D4"/>
    <w:rsid w:val="002121F5"/>
    <w:rsid w:val="00212B9E"/>
    <w:rsid w:val="002139CB"/>
    <w:rsid w:val="00215253"/>
    <w:rsid w:val="00231C40"/>
    <w:rsid w:val="00242AC5"/>
    <w:rsid w:val="00254CBA"/>
    <w:rsid w:val="002577DF"/>
    <w:rsid w:val="00282BB1"/>
    <w:rsid w:val="00284076"/>
    <w:rsid w:val="00286AC2"/>
    <w:rsid w:val="00287473"/>
    <w:rsid w:val="002B11EA"/>
    <w:rsid w:val="002C0D31"/>
    <w:rsid w:val="002C3A5D"/>
    <w:rsid w:val="002D0CE9"/>
    <w:rsid w:val="00301AE4"/>
    <w:rsid w:val="00340DD7"/>
    <w:rsid w:val="00373644"/>
    <w:rsid w:val="0038193A"/>
    <w:rsid w:val="00394A8A"/>
    <w:rsid w:val="00397F4D"/>
    <w:rsid w:val="003A4BCF"/>
    <w:rsid w:val="003B7419"/>
    <w:rsid w:val="003D0864"/>
    <w:rsid w:val="003E34E9"/>
    <w:rsid w:val="003E77DD"/>
    <w:rsid w:val="00414314"/>
    <w:rsid w:val="004219B7"/>
    <w:rsid w:val="00423182"/>
    <w:rsid w:val="00441D08"/>
    <w:rsid w:val="00482866"/>
    <w:rsid w:val="004A59AC"/>
    <w:rsid w:val="004B5680"/>
    <w:rsid w:val="004C423B"/>
    <w:rsid w:val="004C6317"/>
    <w:rsid w:val="005150F5"/>
    <w:rsid w:val="0051640B"/>
    <w:rsid w:val="00525B8E"/>
    <w:rsid w:val="00560584"/>
    <w:rsid w:val="005646B9"/>
    <w:rsid w:val="00567062"/>
    <w:rsid w:val="005716D1"/>
    <w:rsid w:val="00576051"/>
    <w:rsid w:val="00593105"/>
    <w:rsid w:val="005933E2"/>
    <w:rsid w:val="005B02BC"/>
    <w:rsid w:val="005B3FE1"/>
    <w:rsid w:val="005B4804"/>
    <w:rsid w:val="005D1B67"/>
    <w:rsid w:val="005D6104"/>
    <w:rsid w:val="005E0916"/>
    <w:rsid w:val="005F6900"/>
    <w:rsid w:val="006068A6"/>
    <w:rsid w:val="00610E21"/>
    <w:rsid w:val="006253AB"/>
    <w:rsid w:val="006265FA"/>
    <w:rsid w:val="00626867"/>
    <w:rsid w:val="00627B7C"/>
    <w:rsid w:val="006307D4"/>
    <w:rsid w:val="00633097"/>
    <w:rsid w:val="006435C0"/>
    <w:rsid w:val="00645B74"/>
    <w:rsid w:val="00655098"/>
    <w:rsid w:val="00656F5F"/>
    <w:rsid w:val="00676CC2"/>
    <w:rsid w:val="00685303"/>
    <w:rsid w:val="00685EFD"/>
    <w:rsid w:val="00686DAC"/>
    <w:rsid w:val="00696D6C"/>
    <w:rsid w:val="006A292B"/>
    <w:rsid w:val="006B30CF"/>
    <w:rsid w:val="006C3308"/>
    <w:rsid w:val="006D0A6A"/>
    <w:rsid w:val="006D1277"/>
    <w:rsid w:val="006D3297"/>
    <w:rsid w:val="006E77FF"/>
    <w:rsid w:val="006F33BC"/>
    <w:rsid w:val="007006B9"/>
    <w:rsid w:val="007254B3"/>
    <w:rsid w:val="00742AB6"/>
    <w:rsid w:val="0074330A"/>
    <w:rsid w:val="00747165"/>
    <w:rsid w:val="00752453"/>
    <w:rsid w:val="00760556"/>
    <w:rsid w:val="007801CB"/>
    <w:rsid w:val="00782962"/>
    <w:rsid w:val="007839BF"/>
    <w:rsid w:val="0079059D"/>
    <w:rsid w:val="007A18F0"/>
    <w:rsid w:val="007D30E4"/>
    <w:rsid w:val="007F49B2"/>
    <w:rsid w:val="00875970"/>
    <w:rsid w:val="00882FFC"/>
    <w:rsid w:val="008865FA"/>
    <w:rsid w:val="00890BA7"/>
    <w:rsid w:val="008959FC"/>
    <w:rsid w:val="008A36B3"/>
    <w:rsid w:val="008B65AE"/>
    <w:rsid w:val="008C2DB8"/>
    <w:rsid w:val="008C3E73"/>
    <w:rsid w:val="008C491B"/>
    <w:rsid w:val="008D2A17"/>
    <w:rsid w:val="008D7854"/>
    <w:rsid w:val="008E07A1"/>
    <w:rsid w:val="0090379E"/>
    <w:rsid w:val="00906F48"/>
    <w:rsid w:val="009102D9"/>
    <w:rsid w:val="009134B2"/>
    <w:rsid w:val="00917A90"/>
    <w:rsid w:val="0092091F"/>
    <w:rsid w:val="00930F20"/>
    <w:rsid w:val="00933E1D"/>
    <w:rsid w:val="00934A11"/>
    <w:rsid w:val="009442C6"/>
    <w:rsid w:val="00950EE9"/>
    <w:rsid w:val="00951AA7"/>
    <w:rsid w:val="0096631B"/>
    <w:rsid w:val="009A0913"/>
    <w:rsid w:val="009A43A6"/>
    <w:rsid w:val="009C147C"/>
    <w:rsid w:val="009E0746"/>
    <w:rsid w:val="00A01491"/>
    <w:rsid w:val="00A02DF3"/>
    <w:rsid w:val="00A2334D"/>
    <w:rsid w:val="00A35342"/>
    <w:rsid w:val="00A40F13"/>
    <w:rsid w:val="00A43CC9"/>
    <w:rsid w:val="00A45136"/>
    <w:rsid w:val="00A563E6"/>
    <w:rsid w:val="00A602B2"/>
    <w:rsid w:val="00A61F83"/>
    <w:rsid w:val="00A63690"/>
    <w:rsid w:val="00A64198"/>
    <w:rsid w:val="00A64C3D"/>
    <w:rsid w:val="00A7019D"/>
    <w:rsid w:val="00A72C36"/>
    <w:rsid w:val="00A737BE"/>
    <w:rsid w:val="00A75E7B"/>
    <w:rsid w:val="00A75FB7"/>
    <w:rsid w:val="00AA1DF7"/>
    <w:rsid w:val="00AA2EBB"/>
    <w:rsid w:val="00AE1874"/>
    <w:rsid w:val="00B0054F"/>
    <w:rsid w:val="00B176F4"/>
    <w:rsid w:val="00B3003C"/>
    <w:rsid w:val="00B463C4"/>
    <w:rsid w:val="00B609BB"/>
    <w:rsid w:val="00B76FBC"/>
    <w:rsid w:val="00B9036B"/>
    <w:rsid w:val="00BC1933"/>
    <w:rsid w:val="00BC22F6"/>
    <w:rsid w:val="00BC7BE0"/>
    <w:rsid w:val="00BD572A"/>
    <w:rsid w:val="00BD7E12"/>
    <w:rsid w:val="00BF281B"/>
    <w:rsid w:val="00BF3629"/>
    <w:rsid w:val="00C11249"/>
    <w:rsid w:val="00C17802"/>
    <w:rsid w:val="00C2568C"/>
    <w:rsid w:val="00C32EC6"/>
    <w:rsid w:val="00C34D29"/>
    <w:rsid w:val="00C45743"/>
    <w:rsid w:val="00C47B1C"/>
    <w:rsid w:val="00C57423"/>
    <w:rsid w:val="00C62932"/>
    <w:rsid w:val="00C701E5"/>
    <w:rsid w:val="00C8539D"/>
    <w:rsid w:val="00C86E87"/>
    <w:rsid w:val="00C923ED"/>
    <w:rsid w:val="00CE4A40"/>
    <w:rsid w:val="00CE6EC2"/>
    <w:rsid w:val="00D15B07"/>
    <w:rsid w:val="00D3093A"/>
    <w:rsid w:val="00D30AA2"/>
    <w:rsid w:val="00D31CD7"/>
    <w:rsid w:val="00D33DAD"/>
    <w:rsid w:val="00D453CF"/>
    <w:rsid w:val="00D45E4D"/>
    <w:rsid w:val="00D76D36"/>
    <w:rsid w:val="00D80843"/>
    <w:rsid w:val="00D83111"/>
    <w:rsid w:val="00DA173B"/>
    <w:rsid w:val="00DB72F8"/>
    <w:rsid w:val="00DD44CB"/>
    <w:rsid w:val="00DE23B5"/>
    <w:rsid w:val="00DE6E01"/>
    <w:rsid w:val="00DF5CF5"/>
    <w:rsid w:val="00E137B3"/>
    <w:rsid w:val="00E3255E"/>
    <w:rsid w:val="00E42190"/>
    <w:rsid w:val="00E43AE3"/>
    <w:rsid w:val="00E52490"/>
    <w:rsid w:val="00E57532"/>
    <w:rsid w:val="00E61C38"/>
    <w:rsid w:val="00E65E50"/>
    <w:rsid w:val="00E70FF9"/>
    <w:rsid w:val="00E80502"/>
    <w:rsid w:val="00E82BA6"/>
    <w:rsid w:val="00E92D70"/>
    <w:rsid w:val="00EB070D"/>
    <w:rsid w:val="00EC0C58"/>
    <w:rsid w:val="00EC14F1"/>
    <w:rsid w:val="00EC618A"/>
    <w:rsid w:val="00ED03D8"/>
    <w:rsid w:val="00ED1F2C"/>
    <w:rsid w:val="00ED7E93"/>
    <w:rsid w:val="00EE374E"/>
    <w:rsid w:val="00F10971"/>
    <w:rsid w:val="00F11269"/>
    <w:rsid w:val="00F11FCA"/>
    <w:rsid w:val="00F3014A"/>
    <w:rsid w:val="00F37084"/>
    <w:rsid w:val="00F46601"/>
    <w:rsid w:val="00F54368"/>
    <w:rsid w:val="00F558B1"/>
    <w:rsid w:val="00F56D88"/>
    <w:rsid w:val="00F6454E"/>
    <w:rsid w:val="00F70499"/>
    <w:rsid w:val="00F822D3"/>
    <w:rsid w:val="00F852F7"/>
    <w:rsid w:val="00F939B4"/>
    <w:rsid w:val="00F964A8"/>
    <w:rsid w:val="00F979BE"/>
    <w:rsid w:val="00FB46D9"/>
    <w:rsid w:val="00FB63BE"/>
    <w:rsid w:val="00FD09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8A7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076"/>
    <w:pPr>
      <w:widowControl w:val="0"/>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Normal"/>
    <w:link w:val="Heading1Char"/>
    <w:uiPriority w:val="9"/>
    <w:qFormat/>
    <w:rsid w:val="002C0D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84076"/>
    <w:pPr>
      <w:keepNext/>
      <w:jc w:val="center"/>
      <w:outlineLvl w:val="1"/>
    </w:pPr>
    <w:rPr>
      <w:b/>
    </w:rPr>
  </w:style>
  <w:style w:type="paragraph" w:styleId="Heading3">
    <w:name w:val="heading 3"/>
    <w:basedOn w:val="Normal"/>
    <w:next w:val="Normal"/>
    <w:link w:val="Heading3Char"/>
    <w:uiPriority w:val="9"/>
    <w:unhideWhenUsed/>
    <w:qFormat/>
    <w:rsid w:val="0068530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8407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284076"/>
    <w:pPr>
      <w:widowControl/>
      <w:tabs>
        <w:tab w:val="center" w:pos="4320"/>
        <w:tab w:val="right" w:pos="8640"/>
      </w:tabs>
    </w:pPr>
    <w:rPr>
      <w:snapToGrid/>
    </w:rPr>
  </w:style>
  <w:style w:type="character" w:customStyle="1" w:styleId="FooterChar">
    <w:name w:val="Footer Char"/>
    <w:basedOn w:val="DefaultParagraphFont"/>
    <w:link w:val="Footer"/>
    <w:uiPriority w:val="99"/>
    <w:rsid w:val="00284076"/>
    <w:rPr>
      <w:rFonts w:ascii="Times New Roman" w:eastAsia="Times New Roman" w:hAnsi="Times New Roman" w:cs="Times New Roman"/>
      <w:sz w:val="24"/>
      <w:szCs w:val="20"/>
    </w:rPr>
  </w:style>
  <w:style w:type="paragraph" w:styleId="BodyText">
    <w:name w:val="Body Text"/>
    <w:basedOn w:val="Normal"/>
    <w:link w:val="BodyTextChar"/>
    <w:rsid w:val="00284076"/>
    <w:pPr>
      <w:jc w:val="both"/>
    </w:pPr>
  </w:style>
  <w:style w:type="character" w:customStyle="1" w:styleId="BodyTextChar">
    <w:name w:val="Body Text Char"/>
    <w:basedOn w:val="DefaultParagraphFont"/>
    <w:link w:val="BodyText"/>
    <w:rsid w:val="00284076"/>
    <w:rPr>
      <w:rFonts w:ascii="Times New Roman" w:eastAsia="Times New Roman" w:hAnsi="Times New Roman" w:cs="Times New Roman"/>
      <w:snapToGrid w:val="0"/>
      <w:sz w:val="24"/>
      <w:szCs w:val="20"/>
    </w:rPr>
  </w:style>
  <w:style w:type="paragraph" w:styleId="BodyText2">
    <w:name w:val="Body Text 2"/>
    <w:basedOn w:val="Normal"/>
    <w:link w:val="BodyText2Char"/>
    <w:rsid w:val="00284076"/>
    <w:pPr>
      <w:jc w:val="both"/>
    </w:pPr>
    <w:rPr>
      <w:u w:val="single"/>
    </w:rPr>
  </w:style>
  <w:style w:type="character" w:customStyle="1" w:styleId="BodyText2Char">
    <w:name w:val="Body Text 2 Char"/>
    <w:basedOn w:val="DefaultParagraphFont"/>
    <w:link w:val="BodyText2"/>
    <w:rsid w:val="00284076"/>
    <w:rPr>
      <w:rFonts w:ascii="Times New Roman" w:eastAsia="Times New Roman" w:hAnsi="Times New Roman" w:cs="Times New Roman"/>
      <w:snapToGrid w:val="0"/>
      <w:sz w:val="24"/>
      <w:szCs w:val="20"/>
      <w:u w:val="single"/>
    </w:rPr>
  </w:style>
  <w:style w:type="paragraph" w:styleId="ListParagraph">
    <w:name w:val="List Paragraph"/>
    <w:basedOn w:val="Normal"/>
    <w:uiPriority w:val="34"/>
    <w:qFormat/>
    <w:rsid w:val="00284076"/>
    <w:pPr>
      <w:ind w:left="720"/>
      <w:contextualSpacing/>
    </w:pPr>
  </w:style>
  <w:style w:type="paragraph" w:customStyle="1" w:styleId="Normal1">
    <w:name w:val="Normal1"/>
    <w:basedOn w:val="Normal"/>
    <w:rsid w:val="00C17802"/>
    <w:pPr>
      <w:widowControl/>
      <w:spacing w:before="100" w:beforeAutospacing="1" w:after="100" w:afterAutospacing="1"/>
    </w:pPr>
    <w:rPr>
      <w:snapToGrid/>
      <w:szCs w:val="24"/>
    </w:rPr>
  </w:style>
  <w:style w:type="character" w:customStyle="1" w:styleId="normalchar">
    <w:name w:val="normal__char"/>
    <w:basedOn w:val="DefaultParagraphFont"/>
    <w:rsid w:val="00C17802"/>
  </w:style>
  <w:style w:type="character" w:styleId="Hyperlink">
    <w:name w:val="Hyperlink"/>
    <w:basedOn w:val="DefaultParagraphFont"/>
    <w:uiPriority w:val="99"/>
    <w:semiHidden/>
    <w:unhideWhenUsed/>
    <w:rsid w:val="0038193A"/>
    <w:rPr>
      <w:color w:val="0000FF"/>
      <w:u w:val="single"/>
    </w:rPr>
  </w:style>
  <w:style w:type="character" w:customStyle="1" w:styleId="cosearchterm">
    <w:name w:val="co_searchterm"/>
    <w:basedOn w:val="DefaultParagraphFont"/>
    <w:rsid w:val="0038193A"/>
  </w:style>
  <w:style w:type="character" w:customStyle="1" w:styleId="Heading3Char">
    <w:name w:val="Heading 3 Char"/>
    <w:basedOn w:val="DefaultParagraphFont"/>
    <w:link w:val="Heading3"/>
    <w:uiPriority w:val="9"/>
    <w:rsid w:val="00685303"/>
    <w:rPr>
      <w:rFonts w:asciiTheme="majorHAnsi" w:eastAsiaTheme="majorEastAsia" w:hAnsiTheme="majorHAnsi" w:cstheme="majorBidi"/>
      <w:b/>
      <w:bCs/>
      <w:snapToGrid w:val="0"/>
      <w:color w:val="4F81BD" w:themeColor="accent1"/>
      <w:sz w:val="24"/>
      <w:szCs w:val="20"/>
    </w:rPr>
  </w:style>
  <w:style w:type="character" w:styleId="Strong">
    <w:name w:val="Strong"/>
    <w:basedOn w:val="DefaultParagraphFont"/>
    <w:uiPriority w:val="22"/>
    <w:qFormat/>
    <w:rsid w:val="00A7019D"/>
    <w:rPr>
      <w:b/>
      <w:bCs/>
    </w:rPr>
  </w:style>
  <w:style w:type="character" w:customStyle="1" w:styleId="Heading1Char">
    <w:name w:val="Heading 1 Char"/>
    <w:basedOn w:val="DefaultParagraphFont"/>
    <w:link w:val="Heading1"/>
    <w:uiPriority w:val="9"/>
    <w:rsid w:val="002C0D31"/>
    <w:rPr>
      <w:rFonts w:asciiTheme="majorHAnsi" w:eastAsiaTheme="majorEastAsia" w:hAnsiTheme="majorHAnsi" w:cstheme="majorBidi"/>
      <w:b/>
      <w:bCs/>
      <w:snapToGrid w:val="0"/>
      <w:color w:val="365F91" w:themeColor="accent1" w:themeShade="BF"/>
      <w:sz w:val="28"/>
      <w:szCs w:val="28"/>
    </w:rPr>
  </w:style>
  <w:style w:type="character" w:customStyle="1" w:styleId="groupheading">
    <w:name w:val="groupheading"/>
    <w:basedOn w:val="DefaultParagraphFont"/>
    <w:rsid w:val="004A59AC"/>
  </w:style>
  <w:style w:type="character" w:customStyle="1" w:styleId="informationalsmall">
    <w:name w:val="informationalsmall"/>
    <w:basedOn w:val="DefaultParagraphFont"/>
    <w:rsid w:val="004A59AC"/>
  </w:style>
  <w:style w:type="character" w:customStyle="1" w:styleId="starpage">
    <w:name w:val="starpage"/>
    <w:basedOn w:val="DefaultParagraphFont"/>
    <w:rsid w:val="00441D08"/>
  </w:style>
  <w:style w:type="paragraph" w:styleId="Header">
    <w:name w:val="header"/>
    <w:basedOn w:val="Normal"/>
    <w:link w:val="HeaderChar"/>
    <w:uiPriority w:val="99"/>
    <w:unhideWhenUsed/>
    <w:rsid w:val="00576051"/>
    <w:pPr>
      <w:tabs>
        <w:tab w:val="center" w:pos="4680"/>
        <w:tab w:val="right" w:pos="9360"/>
      </w:tabs>
    </w:pPr>
  </w:style>
  <w:style w:type="character" w:customStyle="1" w:styleId="HeaderChar">
    <w:name w:val="Header Char"/>
    <w:basedOn w:val="DefaultParagraphFont"/>
    <w:link w:val="Header"/>
    <w:uiPriority w:val="99"/>
    <w:rsid w:val="00576051"/>
    <w:rPr>
      <w:rFonts w:ascii="Times New Roman" w:eastAsia="Times New Roman" w:hAnsi="Times New Roman" w:cs="Times New Roman"/>
      <w:snapToGrid w:val="0"/>
      <w:sz w:val="24"/>
      <w:szCs w:val="20"/>
    </w:rPr>
  </w:style>
  <w:style w:type="character" w:customStyle="1" w:styleId="copinpointicon">
    <w:name w:val="co_pinpointicon"/>
    <w:basedOn w:val="DefaultParagraphFont"/>
    <w:rsid w:val="00A75E7B"/>
  </w:style>
  <w:style w:type="character" w:customStyle="1" w:styleId="costarpage">
    <w:name w:val="co_starpage"/>
    <w:basedOn w:val="DefaultParagraphFont"/>
    <w:rsid w:val="00A75E7B"/>
  </w:style>
  <w:style w:type="table" w:customStyle="1" w:styleId="TableGrid1">
    <w:name w:val="Table Grid1"/>
    <w:basedOn w:val="TableNormal"/>
    <w:next w:val="TableGrid"/>
    <w:uiPriority w:val="59"/>
    <w:rsid w:val="000F13BB"/>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0F13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A563E6"/>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076"/>
    <w:pPr>
      <w:widowControl w:val="0"/>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Normal"/>
    <w:link w:val="Heading1Char"/>
    <w:uiPriority w:val="9"/>
    <w:qFormat/>
    <w:rsid w:val="002C0D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84076"/>
    <w:pPr>
      <w:keepNext/>
      <w:jc w:val="center"/>
      <w:outlineLvl w:val="1"/>
    </w:pPr>
    <w:rPr>
      <w:b/>
    </w:rPr>
  </w:style>
  <w:style w:type="paragraph" w:styleId="Heading3">
    <w:name w:val="heading 3"/>
    <w:basedOn w:val="Normal"/>
    <w:next w:val="Normal"/>
    <w:link w:val="Heading3Char"/>
    <w:uiPriority w:val="9"/>
    <w:unhideWhenUsed/>
    <w:qFormat/>
    <w:rsid w:val="0068530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8407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284076"/>
    <w:pPr>
      <w:widowControl/>
      <w:tabs>
        <w:tab w:val="center" w:pos="4320"/>
        <w:tab w:val="right" w:pos="8640"/>
      </w:tabs>
    </w:pPr>
    <w:rPr>
      <w:snapToGrid/>
    </w:rPr>
  </w:style>
  <w:style w:type="character" w:customStyle="1" w:styleId="FooterChar">
    <w:name w:val="Footer Char"/>
    <w:basedOn w:val="DefaultParagraphFont"/>
    <w:link w:val="Footer"/>
    <w:uiPriority w:val="99"/>
    <w:rsid w:val="00284076"/>
    <w:rPr>
      <w:rFonts w:ascii="Times New Roman" w:eastAsia="Times New Roman" w:hAnsi="Times New Roman" w:cs="Times New Roman"/>
      <w:sz w:val="24"/>
      <w:szCs w:val="20"/>
    </w:rPr>
  </w:style>
  <w:style w:type="paragraph" w:styleId="BodyText">
    <w:name w:val="Body Text"/>
    <w:basedOn w:val="Normal"/>
    <w:link w:val="BodyTextChar"/>
    <w:rsid w:val="00284076"/>
    <w:pPr>
      <w:jc w:val="both"/>
    </w:pPr>
  </w:style>
  <w:style w:type="character" w:customStyle="1" w:styleId="BodyTextChar">
    <w:name w:val="Body Text Char"/>
    <w:basedOn w:val="DefaultParagraphFont"/>
    <w:link w:val="BodyText"/>
    <w:rsid w:val="00284076"/>
    <w:rPr>
      <w:rFonts w:ascii="Times New Roman" w:eastAsia="Times New Roman" w:hAnsi="Times New Roman" w:cs="Times New Roman"/>
      <w:snapToGrid w:val="0"/>
      <w:sz w:val="24"/>
      <w:szCs w:val="20"/>
    </w:rPr>
  </w:style>
  <w:style w:type="paragraph" w:styleId="BodyText2">
    <w:name w:val="Body Text 2"/>
    <w:basedOn w:val="Normal"/>
    <w:link w:val="BodyText2Char"/>
    <w:rsid w:val="00284076"/>
    <w:pPr>
      <w:jc w:val="both"/>
    </w:pPr>
    <w:rPr>
      <w:u w:val="single"/>
    </w:rPr>
  </w:style>
  <w:style w:type="character" w:customStyle="1" w:styleId="BodyText2Char">
    <w:name w:val="Body Text 2 Char"/>
    <w:basedOn w:val="DefaultParagraphFont"/>
    <w:link w:val="BodyText2"/>
    <w:rsid w:val="00284076"/>
    <w:rPr>
      <w:rFonts w:ascii="Times New Roman" w:eastAsia="Times New Roman" w:hAnsi="Times New Roman" w:cs="Times New Roman"/>
      <w:snapToGrid w:val="0"/>
      <w:sz w:val="24"/>
      <w:szCs w:val="20"/>
      <w:u w:val="single"/>
    </w:rPr>
  </w:style>
  <w:style w:type="paragraph" w:styleId="ListParagraph">
    <w:name w:val="List Paragraph"/>
    <w:basedOn w:val="Normal"/>
    <w:uiPriority w:val="34"/>
    <w:qFormat/>
    <w:rsid w:val="00284076"/>
    <w:pPr>
      <w:ind w:left="720"/>
      <w:contextualSpacing/>
    </w:pPr>
  </w:style>
  <w:style w:type="paragraph" w:customStyle="1" w:styleId="Normal1">
    <w:name w:val="Normal1"/>
    <w:basedOn w:val="Normal"/>
    <w:rsid w:val="00C17802"/>
    <w:pPr>
      <w:widowControl/>
      <w:spacing w:before="100" w:beforeAutospacing="1" w:after="100" w:afterAutospacing="1"/>
    </w:pPr>
    <w:rPr>
      <w:snapToGrid/>
      <w:szCs w:val="24"/>
    </w:rPr>
  </w:style>
  <w:style w:type="character" w:customStyle="1" w:styleId="normalchar">
    <w:name w:val="normal__char"/>
    <w:basedOn w:val="DefaultParagraphFont"/>
    <w:rsid w:val="00C17802"/>
  </w:style>
  <w:style w:type="character" w:styleId="Hyperlink">
    <w:name w:val="Hyperlink"/>
    <w:basedOn w:val="DefaultParagraphFont"/>
    <w:uiPriority w:val="99"/>
    <w:semiHidden/>
    <w:unhideWhenUsed/>
    <w:rsid w:val="0038193A"/>
    <w:rPr>
      <w:color w:val="0000FF"/>
      <w:u w:val="single"/>
    </w:rPr>
  </w:style>
  <w:style w:type="character" w:customStyle="1" w:styleId="cosearchterm">
    <w:name w:val="co_searchterm"/>
    <w:basedOn w:val="DefaultParagraphFont"/>
    <w:rsid w:val="0038193A"/>
  </w:style>
  <w:style w:type="character" w:customStyle="1" w:styleId="Heading3Char">
    <w:name w:val="Heading 3 Char"/>
    <w:basedOn w:val="DefaultParagraphFont"/>
    <w:link w:val="Heading3"/>
    <w:uiPriority w:val="9"/>
    <w:rsid w:val="00685303"/>
    <w:rPr>
      <w:rFonts w:asciiTheme="majorHAnsi" w:eastAsiaTheme="majorEastAsia" w:hAnsiTheme="majorHAnsi" w:cstheme="majorBidi"/>
      <w:b/>
      <w:bCs/>
      <w:snapToGrid w:val="0"/>
      <w:color w:val="4F81BD" w:themeColor="accent1"/>
      <w:sz w:val="24"/>
      <w:szCs w:val="20"/>
    </w:rPr>
  </w:style>
  <w:style w:type="character" w:styleId="Strong">
    <w:name w:val="Strong"/>
    <w:basedOn w:val="DefaultParagraphFont"/>
    <w:uiPriority w:val="22"/>
    <w:qFormat/>
    <w:rsid w:val="00A7019D"/>
    <w:rPr>
      <w:b/>
      <w:bCs/>
    </w:rPr>
  </w:style>
  <w:style w:type="character" w:customStyle="1" w:styleId="Heading1Char">
    <w:name w:val="Heading 1 Char"/>
    <w:basedOn w:val="DefaultParagraphFont"/>
    <w:link w:val="Heading1"/>
    <w:uiPriority w:val="9"/>
    <w:rsid w:val="002C0D31"/>
    <w:rPr>
      <w:rFonts w:asciiTheme="majorHAnsi" w:eastAsiaTheme="majorEastAsia" w:hAnsiTheme="majorHAnsi" w:cstheme="majorBidi"/>
      <w:b/>
      <w:bCs/>
      <w:snapToGrid w:val="0"/>
      <w:color w:val="365F91" w:themeColor="accent1" w:themeShade="BF"/>
      <w:sz w:val="28"/>
      <w:szCs w:val="28"/>
    </w:rPr>
  </w:style>
  <w:style w:type="character" w:customStyle="1" w:styleId="groupheading">
    <w:name w:val="groupheading"/>
    <w:basedOn w:val="DefaultParagraphFont"/>
    <w:rsid w:val="004A59AC"/>
  </w:style>
  <w:style w:type="character" w:customStyle="1" w:styleId="informationalsmall">
    <w:name w:val="informationalsmall"/>
    <w:basedOn w:val="DefaultParagraphFont"/>
    <w:rsid w:val="004A59AC"/>
  </w:style>
  <w:style w:type="character" w:customStyle="1" w:styleId="starpage">
    <w:name w:val="starpage"/>
    <w:basedOn w:val="DefaultParagraphFont"/>
    <w:rsid w:val="00441D08"/>
  </w:style>
  <w:style w:type="paragraph" w:styleId="Header">
    <w:name w:val="header"/>
    <w:basedOn w:val="Normal"/>
    <w:link w:val="HeaderChar"/>
    <w:uiPriority w:val="99"/>
    <w:unhideWhenUsed/>
    <w:rsid w:val="00576051"/>
    <w:pPr>
      <w:tabs>
        <w:tab w:val="center" w:pos="4680"/>
        <w:tab w:val="right" w:pos="9360"/>
      </w:tabs>
    </w:pPr>
  </w:style>
  <w:style w:type="character" w:customStyle="1" w:styleId="HeaderChar">
    <w:name w:val="Header Char"/>
    <w:basedOn w:val="DefaultParagraphFont"/>
    <w:link w:val="Header"/>
    <w:uiPriority w:val="99"/>
    <w:rsid w:val="00576051"/>
    <w:rPr>
      <w:rFonts w:ascii="Times New Roman" w:eastAsia="Times New Roman" w:hAnsi="Times New Roman" w:cs="Times New Roman"/>
      <w:snapToGrid w:val="0"/>
      <w:sz w:val="24"/>
      <w:szCs w:val="20"/>
    </w:rPr>
  </w:style>
  <w:style w:type="character" w:customStyle="1" w:styleId="copinpointicon">
    <w:name w:val="co_pinpointicon"/>
    <w:basedOn w:val="DefaultParagraphFont"/>
    <w:rsid w:val="00A75E7B"/>
  </w:style>
  <w:style w:type="character" w:customStyle="1" w:styleId="costarpage">
    <w:name w:val="co_starpage"/>
    <w:basedOn w:val="DefaultParagraphFont"/>
    <w:rsid w:val="00A75E7B"/>
  </w:style>
  <w:style w:type="table" w:customStyle="1" w:styleId="TableGrid1">
    <w:name w:val="Table Grid1"/>
    <w:basedOn w:val="TableNormal"/>
    <w:next w:val="TableGrid"/>
    <w:uiPriority w:val="59"/>
    <w:rsid w:val="000F13BB"/>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0F13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A563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23832">
      <w:bodyDiv w:val="1"/>
      <w:marLeft w:val="0"/>
      <w:marRight w:val="0"/>
      <w:marTop w:val="0"/>
      <w:marBottom w:val="0"/>
      <w:divBdr>
        <w:top w:val="none" w:sz="0" w:space="0" w:color="auto"/>
        <w:left w:val="none" w:sz="0" w:space="0" w:color="auto"/>
        <w:bottom w:val="none" w:sz="0" w:space="0" w:color="auto"/>
        <w:right w:val="none" w:sz="0" w:space="0" w:color="auto"/>
      </w:divBdr>
    </w:div>
    <w:div w:id="198783006">
      <w:bodyDiv w:val="1"/>
      <w:marLeft w:val="0"/>
      <w:marRight w:val="0"/>
      <w:marTop w:val="0"/>
      <w:marBottom w:val="0"/>
      <w:divBdr>
        <w:top w:val="none" w:sz="0" w:space="0" w:color="auto"/>
        <w:left w:val="none" w:sz="0" w:space="0" w:color="auto"/>
        <w:bottom w:val="none" w:sz="0" w:space="0" w:color="auto"/>
        <w:right w:val="none" w:sz="0" w:space="0" w:color="auto"/>
      </w:divBdr>
    </w:div>
    <w:div w:id="209464397">
      <w:bodyDiv w:val="1"/>
      <w:marLeft w:val="0"/>
      <w:marRight w:val="0"/>
      <w:marTop w:val="0"/>
      <w:marBottom w:val="0"/>
      <w:divBdr>
        <w:top w:val="none" w:sz="0" w:space="0" w:color="auto"/>
        <w:left w:val="none" w:sz="0" w:space="0" w:color="auto"/>
        <w:bottom w:val="none" w:sz="0" w:space="0" w:color="auto"/>
        <w:right w:val="none" w:sz="0" w:space="0" w:color="auto"/>
      </w:divBdr>
    </w:div>
    <w:div w:id="992608648">
      <w:bodyDiv w:val="1"/>
      <w:marLeft w:val="0"/>
      <w:marRight w:val="0"/>
      <w:marTop w:val="0"/>
      <w:marBottom w:val="0"/>
      <w:divBdr>
        <w:top w:val="none" w:sz="0" w:space="0" w:color="auto"/>
        <w:left w:val="none" w:sz="0" w:space="0" w:color="auto"/>
        <w:bottom w:val="none" w:sz="0" w:space="0" w:color="auto"/>
        <w:right w:val="none" w:sz="0" w:space="0" w:color="auto"/>
      </w:divBdr>
    </w:div>
    <w:div w:id="1037239790">
      <w:bodyDiv w:val="1"/>
      <w:marLeft w:val="0"/>
      <w:marRight w:val="0"/>
      <w:marTop w:val="0"/>
      <w:marBottom w:val="0"/>
      <w:divBdr>
        <w:top w:val="none" w:sz="0" w:space="0" w:color="auto"/>
        <w:left w:val="none" w:sz="0" w:space="0" w:color="auto"/>
        <w:bottom w:val="none" w:sz="0" w:space="0" w:color="auto"/>
        <w:right w:val="none" w:sz="0" w:space="0" w:color="auto"/>
      </w:divBdr>
      <w:divsChild>
        <w:div w:id="1322660632">
          <w:marLeft w:val="0"/>
          <w:marRight w:val="0"/>
          <w:marTop w:val="0"/>
          <w:marBottom w:val="0"/>
          <w:divBdr>
            <w:top w:val="none" w:sz="0" w:space="0" w:color="auto"/>
            <w:left w:val="none" w:sz="0" w:space="0" w:color="auto"/>
            <w:bottom w:val="none" w:sz="0" w:space="0" w:color="auto"/>
            <w:right w:val="none" w:sz="0" w:space="0" w:color="auto"/>
          </w:divBdr>
          <w:divsChild>
            <w:div w:id="12342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798750">
      <w:bodyDiv w:val="1"/>
      <w:marLeft w:val="0"/>
      <w:marRight w:val="0"/>
      <w:marTop w:val="0"/>
      <w:marBottom w:val="0"/>
      <w:divBdr>
        <w:top w:val="none" w:sz="0" w:space="0" w:color="auto"/>
        <w:left w:val="none" w:sz="0" w:space="0" w:color="auto"/>
        <w:bottom w:val="none" w:sz="0" w:space="0" w:color="auto"/>
        <w:right w:val="none" w:sz="0" w:space="0" w:color="auto"/>
      </w:divBdr>
      <w:divsChild>
        <w:div w:id="1176117646">
          <w:marLeft w:val="0"/>
          <w:marRight w:val="0"/>
          <w:marTop w:val="0"/>
          <w:marBottom w:val="0"/>
          <w:divBdr>
            <w:top w:val="none" w:sz="0" w:space="0" w:color="auto"/>
            <w:left w:val="none" w:sz="0" w:space="0" w:color="auto"/>
            <w:bottom w:val="none" w:sz="0" w:space="0" w:color="auto"/>
            <w:right w:val="none" w:sz="0" w:space="0" w:color="auto"/>
          </w:divBdr>
          <w:divsChild>
            <w:div w:id="156455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8008">
      <w:bodyDiv w:val="1"/>
      <w:marLeft w:val="0"/>
      <w:marRight w:val="0"/>
      <w:marTop w:val="0"/>
      <w:marBottom w:val="0"/>
      <w:divBdr>
        <w:top w:val="none" w:sz="0" w:space="0" w:color="auto"/>
        <w:left w:val="none" w:sz="0" w:space="0" w:color="auto"/>
        <w:bottom w:val="none" w:sz="0" w:space="0" w:color="auto"/>
        <w:right w:val="none" w:sz="0" w:space="0" w:color="auto"/>
      </w:divBdr>
    </w:div>
    <w:div w:id="1190290635">
      <w:bodyDiv w:val="1"/>
      <w:marLeft w:val="0"/>
      <w:marRight w:val="0"/>
      <w:marTop w:val="0"/>
      <w:marBottom w:val="0"/>
      <w:divBdr>
        <w:top w:val="none" w:sz="0" w:space="0" w:color="auto"/>
        <w:left w:val="none" w:sz="0" w:space="0" w:color="auto"/>
        <w:bottom w:val="none" w:sz="0" w:space="0" w:color="auto"/>
        <w:right w:val="none" w:sz="0" w:space="0" w:color="auto"/>
      </w:divBdr>
    </w:div>
    <w:div w:id="1195775299">
      <w:bodyDiv w:val="1"/>
      <w:marLeft w:val="0"/>
      <w:marRight w:val="0"/>
      <w:marTop w:val="0"/>
      <w:marBottom w:val="0"/>
      <w:divBdr>
        <w:top w:val="none" w:sz="0" w:space="0" w:color="auto"/>
        <w:left w:val="none" w:sz="0" w:space="0" w:color="auto"/>
        <w:bottom w:val="none" w:sz="0" w:space="0" w:color="auto"/>
        <w:right w:val="none" w:sz="0" w:space="0" w:color="auto"/>
      </w:divBdr>
    </w:div>
    <w:div w:id="1339380889">
      <w:bodyDiv w:val="1"/>
      <w:marLeft w:val="0"/>
      <w:marRight w:val="0"/>
      <w:marTop w:val="0"/>
      <w:marBottom w:val="0"/>
      <w:divBdr>
        <w:top w:val="none" w:sz="0" w:space="0" w:color="auto"/>
        <w:left w:val="none" w:sz="0" w:space="0" w:color="auto"/>
        <w:bottom w:val="none" w:sz="0" w:space="0" w:color="auto"/>
        <w:right w:val="none" w:sz="0" w:space="0" w:color="auto"/>
      </w:divBdr>
    </w:div>
    <w:div w:id="1397512055">
      <w:bodyDiv w:val="1"/>
      <w:marLeft w:val="0"/>
      <w:marRight w:val="0"/>
      <w:marTop w:val="0"/>
      <w:marBottom w:val="0"/>
      <w:divBdr>
        <w:top w:val="none" w:sz="0" w:space="0" w:color="auto"/>
        <w:left w:val="none" w:sz="0" w:space="0" w:color="auto"/>
        <w:bottom w:val="none" w:sz="0" w:space="0" w:color="auto"/>
        <w:right w:val="none" w:sz="0" w:space="0" w:color="auto"/>
      </w:divBdr>
    </w:div>
    <w:div w:id="1548420178">
      <w:bodyDiv w:val="1"/>
      <w:marLeft w:val="0"/>
      <w:marRight w:val="0"/>
      <w:marTop w:val="0"/>
      <w:marBottom w:val="0"/>
      <w:divBdr>
        <w:top w:val="none" w:sz="0" w:space="0" w:color="auto"/>
        <w:left w:val="none" w:sz="0" w:space="0" w:color="auto"/>
        <w:bottom w:val="none" w:sz="0" w:space="0" w:color="auto"/>
        <w:right w:val="none" w:sz="0" w:space="0" w:color="auto"/>
      </w:divBdr>
    </w:div>
    <w:div w:id="1842426926">
      <w:bodyDiv w:val="1"/>
      <w:marLeft w:val="0"/>
      <w:marRight w:val="0"/>
      <w:marTop w:val="0"/>
      <w:marBottom w:val="0"/>
      <w:divBdr>
        <w:top w:val="none" w:sz="0" w:space="0" w:color="auto"/>
        <w:left w:val="none" w:sz="0" w:space="0" w:color="auto"/>
        <w:bottom w:val="none" w:sz="0" w:space="0" w:color="auto"/>
        <w:right w:val="none" w:sz="0" w:space="0" w:color="auto"/>
      </w:divBdr>
      <w:divsChild>
        <w:div w:id="2092240219">
          <w:marLeft w:val="0"/>
          <w:marRight w:val="0"/>
          <w:marTop w:val="0"/>
          <w:marBottom w:val="0"/>
          <w:divBdr>
            <w:top w:val="none" w:sz="0" w:space="0" w:color="auto"/>
            <w:left w:val="none" w:sz="0" w:space="0" w:color="auto"/>
            <w:bottom w:val="none" w:sz="0" w:space="0" w:color="auto"/>
            <w:right w:val="none" w:sz="0" w:space="0" w:color="auto"/>
          </w:divBdr>
          <w:divsChild>
            <w:div w:id="802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67058">
      <w:bodyDiv w:val="1"/>
      <w:marLeft w:val="0"/>
      <w:marRight w:val="0"/>
      <w:marTop w:val="0"/>
      <w:marBottom w:val="0"/>
      <w:divBdr>
        <w:top w:val="none" w:sz="0" w:space="0" w:color="auto"/>
        <w:left w:val="none" w:sz="0" w:space="0" w:color="auto"/>
        <w:bottom w:val="none" w:sz="0" w:space="0" w:color="auto"/>
        <w:right w:val="none" w:sz="0" w:space="0" w:color="auto"/>
      </w:divBdr>
      <w:divsChild>
        <w:div w:id="478233588">
          <w:marLeft w:val="0"/>
          <w:marRight w:val="0"/>
          <w:marTop w:val="0"/>
          <w:marBottom w:val="0"/>
          <w:divBdr>
            <w:top w:val="none" w:sz="0" w:space="0" w:color="auto"/>
            <w:left w:val="none" w:sz="0" w:space="0" w:color="auto"/>
            <w:bottom w:val="none" w:sz="0" w:space="0" w:color="auto"/>
            <w:right w:val="none" w:sz="0" w:space="0" w:color="auto"/>
          </w:divBdr>
          <w:divsChild>
            <w:div w:id="1701010122">
              <w:marLeft w:val="180"/>
              <w:marRight w:val="0"/>
              <w:marTop w:val="0"/>
              <w:marBottom w:val="0"/>
              <w:divBdr>
                <w:top w:val="none" w:sz="0" w:space="0" w:color="auto"/>
                <w:left w:val="none" w:sz="0" w:space="0" w:color="auto"/>
                <w:bottom w:val="none" w:sz="0" w:space="0" w:color="auto"/>
                <w:right w:val="none" w:sz="0" w:space="0" w:color="auto"/>
              </w:divBdr>
            </w:div>
          </w:divsChild>
        </w:div>
        <w:div w:id="1980837113">
          <w:marLeft w:val="0"/>
          <w:marRight w:val="0"/>
          <w:marTop w:val="0"/>
          <w:marBottom w:val="0"/>
          <w:divBdr>
            <w:top w:val="none" w:sz="0" w:space="0" w:color="auto"/>
            <w:left w:val="none" w:sz="0" w:space="0" w:color="auto"/>
            <w:bottom w:val="none" w:sz="0" w:space="0" w:color="auto"/>
            <w:right w:val="none" w:sz="0" w:space="0" w:color="auto"/>
          </w:divBdr>
          <w:divsChild>
            <w:div w:id="251401601">
              <w:marLeft w:val="360"/>
              <w:marRight w:val="0"/>
              <w:marTop w:val="0"/>
              <w:marBottom w:val="0"/>
              <w:divBdr>
                <w:top w:val="none" w:sz="0" w:space="0" w:color="auto"/>
                <w:left w:val="none" w:sz="0" w:space="0" w:color="auto"/>
                <w:bottom w:val="none" w:sz="0" w:space="0" w:color="auto"/>
                <w:right w:val="none" w:sz="0" w:space="0" w:color="auto"/>
              </w:divBdr>
            </w:div>
          </w:divsChild>
        </w:div>
        <w:div w:id="294677968">
          <w:marLeft w:val="0"/>
          <w:marRight w:val="0"/>
          <w:marTop w:val="0"/>
          <w:marBottom w:val="0"/>
          <w:divBdr>
            <w:top w:val="none" w:sz="0" w:space="0" w:color="auto"/>
            <w:left w:val="none" w:sz="0" w:space="0" w:color="auto"/>
            <w:bottom w:val="none" w:sz="0" w:space="0" w:color="auto"/>
            <w:right w:val="none" w:sz="0" w:space="0" w:color="auto"/>
          </w:divBdr>
          <w:divsChild>
            <w:div w:id="1875188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041391398">
      <w:bodyDiv w:val="1"/>
      <w:marLeft w:val="0"/>
      <w:marRight w:val="0"/>
      <w:marTop w:val="0"/>
      <w:marBottom w:val="0"/>
      <w:divBdr>
        <w:top w:val="none" w:sz="0" w:space="0" w:color="auto"/>
        <w:left w:val="none" w:sz="0" w:space="0" w:color="auto"/>
        <w:bottom w:val="none" w:sz="0" w:space="0" w:color="auto"/>
        <w:right w:val="none" w:sz="0" w:space="0" w:color="auto"/>
      </w:divBdr>
      <w:divsChild>
        <w:div w:id="2052028037">
          <w:marLeft w:val="0"/>
          <w:marRight w:val="0"/>
          <w:marTop w:val="0"/>
          <w:marBottom w:val="0"/>
          <w:divBdr>
            <w:top w:val="none" w:sz="0" w:space="0" w:color="auto"/>
            <w:left w:val="none" w:sz="0" w:space="0" w:color="auto"/>
            <w:bottom w:val="none" w:sz="0" w:space="0" w:color="auto"/>
            <w:right w:val="none" w:sz="0" w:space="0" w:color="auto"/>
          </w:divBdr>
          <w:divsChild>
            <w:div w:id="197081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712137">
      <w:bodyDiv w:val="1"/>
      <w:marLeft w:val="0"/>
      <w:marRight w:val="0"/>
      <w:marTop w:val="0"/>
      <w:marBottom w:val="0"/>
      <w:divBdr>
        <w:top w:val="none" w:sz="0" w:space="0" w:color="auto"/>
        <w:left w:val="none" w:sz="0" w:space="0" w:color="auto"/>
        <w:bottom w:val="none" w:sz="0" w:space="0" w:color="auto"/>
        <w:right w:val="none" w:sz="0" w:space="0" w:color="auto"/>
      </w:divBdr>
    </w:div>
    <w:div w:id="2067020325">
      <w:bodyDiv w:val="1"/>
      <w:marLeft w:val="0"/>
      <w:marRight w:val="0"/>
      <w:marTop w:val="0"/>
      <w:marBottom w:val="0"/>
      <w:divBdr>
        <w:top w:val="none" w:sz="0" w:space="0" w:color="auto"/>
        <w:left w:val="none" w:sz="0" w:space="0" w:color="auto"/>
        <w:bottom w:val="none" w:sz="0" w:space="0" w:color="auto"/>
        <w:right w:val="none" w:sz="0" w:space="0" w:color="auto"/>
      </w:divBdr>
    </w:div>
    <w:div w:id="210129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3775</Words>
  <Characters>18839</Characters>
  <Application>Microsoft Macintosh Word</Application>
  <DocSecurity>0</DocSecurity>
  <Lines>319</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2012-03-20T18:06:00Z</cp:lastPrinted>
  <dcterms:created xsi:type="dcterms:W3CDTF">2012-04-18T15:04:00Z</dcterms:created>
  <dcterms:modified xsi:type="dcterms:W3CDTF">2012-06-02T13:34:00Z</dcterms:modified>
  <cp:category/>
</cp:coreProperties>
</file>